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C09" w:rsidRPr="00C8188E" w:rsidRDefault="00D62C09" w:rsidP="000D5587">
      <w:pPr>
        <w:tabs>
          <w:tab w:val="left" w:pos="1843"/>
        </w:tabs>
        <w:spacing w:after="0" w:line="360" w:lineRule="auto"/>
        <w:jc w:val="both"/>
        <w:rPr>
          <w:rFonts w:ascii="Palatino Linotype" w:hAnsi="Palatino Linotype" w:cs="Tahoma"/>
        </w:rPr>
      </w:pPr>
    </w:p>
    <w:p w:rsidR="009E0861" w:rsidRPr="00FD096B" w:rsidRDefault="009E0861" w:rsidP="000D5587">
      <w:pPr>
        <w:tabs>
          <w:tab w:val="left" w:pos="1843"/>
        </w:tabs>
        <w:spacing w:after="0" w:line="360" w:lineRule="auto"/>
        <w:jc w:val="both"/>
        <w:rPr>
          <w:rFonts w:ascii="Palatino Linotype" w:hAnsi="Palatino Linotype" w:cs="Tahoma"/>
          <w:caps/>
        </w:rPr>
      </w:pPr>
      <w:r w:rsidRPr="00FD096B">
        <w:rPr>
          <w:rFonts w:ascii="Palatino Linotype" w:hAnsi="Palatino Linotype" w:cs="Tahoma"/>
        </w:rPr>
        <w:t xml:space="preserve">VOTO PARTICULAR QUE FORMULA EL COMISIONADO LUIS GUSTAVO PARRA NORIEGA, EN RELACIÓN CON LA RESOLUCIÓN DEL RECURSO DE REVISIÓN </w:t>
      </w:r>
      <w:r w:rsidR="00D135EF" w:rsidRPr="00FD096B">
        <w:rPr>
          <w:rFonts w:ascii="Palatino Linotype" w:hAnsi="Palatino Linotype" w:cs="Tahoma"/>
        </w:rPr>
        <w:t>03920</w:t>
      </w:r>
      <w:r w:rsidR="00DE4452" w:rsidRPr="00FD096B">
        <w:rPr>
          <w:rFonts w:ascii="Palatino Linotype" w:hAnsi="Palatino Linotype" w:cs="Tahoma"/>
        </w:rPr>
        <w:t>/INFOEM/IP/RR/</w:t>
      </w:r>
      <w:r w:rsidR="00592A1B" w:rsidRPr="00FD096B">
        <w:rPr>
          <w:rFonts w:ascii="Palatino Linotype" w:hAnsi="Palatino Linotype" w:cs="Tahoma"/>
        </w:rPr>
        <w:t>2018</w:t>
      </w:r>
      <w:r w:rsidR="001A3973" w:rsidRPr="00FD096B">
        <w:rPr>
          <w:rFonts w:ascii="Palatino Linotype" w:hAnsi="Palatino Linotype" w:cs="Tahoma"/>
        </w:rPr>
        <w:t xml:space="preserve"> </w:t>
      </w:r>
      <w:r w:rsidR="001A3973" w:rsidRPr="00FD096B">
        <w:rPr>
          <w:rFonts w:ascii="Palatino Linotype" w:hAnsi="Palatino Linotype" w:cs="Tahoma"/>
          <w:caps/>
        </w:rPr>
        <w:t xml:space="preserve">y </w:t>
      </w:r>
      <w:r w:rsidR="00A310E9" w:rsidRPr="00FD096B">
        <w:rPr>
          <w:rFonts w:ascii="Palatino Linotype" w:hAnsi="Palatino Linotype" w:cs="Tahoma"/>
          <w:caps/>
        </w:rPr>
        <w:t>su acumulado</w:t>
      </w:r>
      <w:r w:rsidR="00A310E9" w:rsidRPr="00FD096B">
        <w:rPr>
          <w:rFonts w:ascii="Palatino Linotype" w:hAnsi="Palatino Linotype" w:cs="Tahoma"/>
        </w:rPr>
        <w:t xml:space="preserve"> </w:t>
      </w:r>
      <w:r w:rsidR="00D135EF" w:rsidRPr="00FD096B">
        <w:rPr>
          <w:rFonts w:ascii="Palatino Linotype" w:hAnsi="Palatino Linotype"/>
          <w:lang w:val="es-ES_tradnl"/>
        </w:rPr>
        <w:t>03921</w:t>
      </w:r>
      <w:r w:rsidR="001A3973" w:rsidRPr="00FD096B">
        <w:rPr>
          <w:rFonts w:ascii="Palatino Linotype" w:hAnsi="Palatino Linotype"/>
          <w:lang w:val="es-ES_tradnl"/>
        </w:rPr>
        <w:t>/INFOEM/IP/RR/2018</w:t>
      </w:r>
      <w:r w:rsidRPr="00FD096B">
        <w:rPr>
          <w:rFonts w:ascii="Palatino Linotype" w:hAnsi="Palatino Linotype" w:cs="Tahoma"/>
          <w:caps/>
        </w:rPr>
        <w:t>,</w:t>
      </w:r>
      <w:r w:rsidRPr="00FD096B">
        <w:rPr>
          <w:rFonts w:ascii="Palatino Linotype" w:hAnsi="Palatino Linotype" w:cs="Tahoma"/>
        </w:rPr>
        <w:t xml:space="preserve"> PROMOVIDO EN </w:t>
      </w:r>
      <w:r w:rsidR="00592A1B" w:rsidRPr="00FD096B">
        <w:rPr>
          <w:rFonts w:ascii="Palatino Linotype" w:hAnsi="Palatino Linotype" w:cs="Tahoma"/>
        </w:rPr>
        <w:t xml:space="preserve">CONTRA </w:t>
      </w:r>
      <w:r w:rsidR="00592A1B" w:rsidRPr="00FD096B">
        <w:rPr>
          <w:rFonts w:ascii="Palatino Linotype" w:hAnsi="Palatino Linotype" w:cs="Tahoma"/>
          <w:caps/>
        </w:rPr>
        <w:t xml:space="preserve">del </w:t>
      </w:r>
      <w:r w:rsidR="00D135EF" w:rsidRPr="00FD096B">
        <w:rPr>
          <w:rFonts w:ascii="Palatino Linotype" w:hAnsi="Palatino Linotype" w:cs="Tahoma"/>
          <w:caps/>
        </w:rPr>
        <w:t>AYUNTAMIENTO DE HUIXQUILUCAN</w:t>
      </w:r>
      <w:r w:rsidR="001A3973" w:rsidRPr="00FD096B">
        <w:rPr>
          <w:rFonts w:ascii="Palatino Linotype" w:hAnsi="Palatino Linotype" w:cs="Tahoma"/>
          <w:caps/>
        </w:rPr>
        <w:t>.</w:t>
      </w:r>
    </w:p>
    <w:p w:rsidR="001A3973" w:rsidRPr="00FD096B" w:rsidRDefault="001A3973" w:rsidP="000D5587">
      <w:pPr>
        <w:tabs>
          <w:tab w:val="left" w:pos="1843"/>
        </w:tabs>
        <w:spacing w:after="0" w:line="360" w:lineRule="auto"/>
        <w:jc w:val="both"/>
        <w:rPr>
          <w:rFonts w:ascii="Palatino Linotype" w:hAnsi="Palatino Linotype" w:cs="Tahoma"/>
        </w:rPr>
      </w:pPr>
    </w:p>
    <w:p w:rsidR="009E0861" w:rsidRPr="00FD096B" w:rsidRDefault="009E0861" w:rsidP="000D5587">
      <w:pPr>
        <w:spacing w:after="0" w:line="360" w:lineRule="auto"/>
        <w:jc w:val="both"/>
        <w:rPr>
          <w:rFonts w:ascii="Palatino Linotype" w:hAnsi="Palatino Linotype" w:cs="Tahoma"/>
        </w:rPr>
      </w:pPr>
      <w:r w:rsidRPr="00FD096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FD096B">
        <w:rPr>
          <w:rFonts w:ascii="Palatino Linotype" w:hAnsi="Palatino Linotype" w:cs="Tahoma"/>
          <w:b/>
        </w:rPr>
        <w:t>Voto Particular</w:t>
      </w:r>
      <w:r w:rsidRPr="00FD096B">
        <w:rPr>
          <w:rFonts w:ascii="Palatino Linotype" w:hAnsi="Palatino Linotype" w:cs="Tahoma"/>
        </w:rPr>
        <w:t xml:space="preserve"> por no compartir en su totalidad las consideraciones que sustentan la Resolución del Recurso de Revisión </w:t>
      </w:r>
      <w:r w:rsidR="00A742D1" w:rsidRPr="00FD096B">
        <w:rPr>
          <w:rFonts w:ascii="Palatino Linotype" w:hAnsi="Palatino Linotype" w:cs="Tahoma"/>
        </w:rPr>
        <w:t>0</w:t>
      </w:r>
      <w:r w:rsidR="00D135EF" w:rsidRPr="00FD096B">
        <w:rPr>
          <w:rFonts w:ascii="Palatino Linotype" w:hAnsi="Palatino Linotype" w:cs="Tahoma"/>
        </w:rPr>
        <w:t>3920</w:t>
      </w:r>
      <w:r w:rsidR="00A742D1" w:rsidRPr="00FD096B">
        <w:rPr>
          <w:rFonts w:ascii="Palatino Linotype" w:hAnsi="Palatino Linotype" w:cs="Tahoma"/>
        </w:rPr>
        <w:t>/INFOEM/IP/RR/</w:t>
      </w:r>
      <w:r w:rsidR="00104333" w:rsidRPr="00FD096B">
        <w:rPr>
          <w:rFonts w:ascii="Palatino Linotype" w:hAnsi="Palatino Linotype" w:cs="Tahoma"/>
        </w:rPr>
        <w:t>2018</w:t>
      </w:r>
      <w:r w:rsidR="001A3973" w:rsidRPr="00FD096B">
        <w:rPr>
          <w:rFonts w:ascii="Palatino Linotype" w:hAnsi="Palatino Linotype" w:cs="Tahoma"/>
        </w:rPr>
        <w:t xml:space="preserve"> y su acumulado. </w:t>
      </w:r>
    </w:p>
    <w:p w:rsidR="009E0861" w:rsidRPr="00FD096B" w:rsidRDefault="009E0861" w:rsidP="000D5587">
      <w:pPr>
        <w:spacing w:after="0" w:line="360" w:lineRule="auto"/>
        <w:jc w:val="both"/>
        <w:rPr>
          <w:rFonts w:ascii="Palatino Linotype" w:hAnsi="Palatino Linotype" w:cs="Tahoma"/>
        </w:rPr>
      </w:pPr>
    </w:p>
    <w:p w:rsidR="000C7FD1" w:rsidRPr="00FD096B" w:rsidRDefault="00EA7E26" w:rsidP="000D5587">
      <w:pPr>
        <w:spacing w:after="0" w:line="360" w:lineRule="auto"/>
        <w:jc w:val="both"/>
        <w:rPr>
          <w:rFonts w:ascii="Palatino Linotype" w:hAnsi="Palatino Linotype"/>
        </w:rPr>
      </w:pPr>
      <w:r w:rsidRPr="00FD096B">
        <w:rPr>
          <w:rFonts w:ascii="Palatino Linotype" w:hAnsi="Palatino Linotype" w:cs="Tahoma"/>
        </w:rPr>
        <w:t>C</w:t>
      </w:r>
      <w:r w:rsidR="009E0861" w:rsidRPr="00FD096B">
        <w:rPr>
          <w:rFonts w:ascii="Palatino Linotype" w:hAnsi="Palatino Linotype" w:cs="Tahoma"/>
        </w:rPr>
        <w:t xml:space="preserve">omo se desprende de la </w:t>
      </w:r>
      <w:r w:rsidR="004E2E30" w:rsidRPr="00FD096B">
        <w:rPr>
          <w:rFonts w:ascii="Palatino Linotype" w:hAnsi="Palatino Linotype" w:cs="Tahoma"/>
        </w:rPr>
        <w:t>R</w:t>
      </w:r>
      <w:r w:rsidR="009E0861" w:rsidRPr="00FD096B">
        <w:rPr>
          <w:rFonts w:ascii="Palatino Linotype" w:hAnsi="Palatino Linotype" w:cs="Tahoma"/>
        </w:rPr>
        <w:t xml:space="preserve">esolución </w:t>
      </w:r>
      <w:r w:rsidRPr="00FD096B">
        <w:rPr>
          <w:rFonts w:ascii="Palatino Linotype" w:hAnsi="Palatino Linotype" w:cs="Tahoma"/>
        </w:rPr>
        <w:t>que nos ocupa</w:t>
      </w:r>
      <w:r w:rsidR="00D135EF" w:rsidRPr="00FD096B">
        <w:rPr>
          <w:rFonts w:ascii="Palatino Linotype" w:hAnsi="Palatino Linotype" w:cs="Tahoma"/>
        </w:rPr>
        <w:t>, el</w:t>
      </w:r>
      <w:r w:rsidR="00627F2B" w:rsidRPr="00FD096B">
        <w:rPr>
          <w:rFonts w:ascii="Palatino Linotype" w:hAnsi="Palatino Linotype" w:cs="Tahoma"/>
        </w:rPr>
        <w:t xml:space="preserve"> entonces solicitante requirió </w:t>
      </w:r>
      <w:r w:rsidR="00C05CDF" w:rsidRPr="00FD096B">
        <w:rPr>
          <w:rFonts w:ascii="Palatino Linotype" w:hAnsi="Palatino Linotype" w:cs="Tahoma"/>
        </w:rPr>
        <w:t xml:space="preserve">información </w:t>
      </w:r>
      <w:r w:rsidR="00E43605" w:rsidRPr="00FD096B">
        <w:rPr>
          <w:rFonts w:ascii="Palatino Linotype" w:hAnsi="Palatino Linotype" w:cs="Tahoma"/>
        </w:rPr>
        <w:t>relacionada con la Titular de la Unidad de Transparencia del Sujeto Obligado, fecha de ingreso, recibos de nómina, aguinaldo y prima vacacional firmados, nombramiento, contrato laboral, copia de los documentos entregados para ocupar el cargo</w:t>
      </w:r>
      <w:r w:rsidR="003F2950" w:rsidRPr="00FD096B">
        <w:rPr>
          <w:rFonts w:ascii="Palatino Linotype" w:hAnsi="Palatino Linotype" w:cs="Tahoma"/>
        </w:rPr>
        <w:t xml:space="preserve"> (por ejemplo comprobante de estudios, currículum vitae, solicitud de empleo elaborada, certificado de antecedentes no penales, acta de nacimiento, credencial de elector, comprobante de domicilio, constancia de no inhabilitación)</w:t>
      </w:r>
      <w:r w:rsidR="00E43605" w:rsidRPr="00FD096B">
        <w:rPr>
          <w:rFonts w:ascii="Palatino Linotype" w:hAnsi="Palatino Linotype" w:cs="Tahoma"/>
        </w:rPr>
        <w:t>, cuántos y cuáles días ha tenido de vacaciones y el documento donde consten</w:t>
      </w:r>
      <w:r w:rsidR="00704503" w:rsidRPr="00FD096B">
        <w:rPr>
          <w:rFonts w:ascii="Palatino Linotype" w:hAnsi="Palatino Linotype" w:cs="Tahoma"/>
        </w:rPr>
        <w:t xml:space="preserve">, así como todos los documentos que comprueben que el Titular de la Unidad de Transparencia cumple con los requisitos del artículo 57 de la Ley de Transparencia y Acceso a la Información Pública del Estado de </w:t>
      </w:r>
      <w:r w:rsidR="00704503" w:rsidRPr="00FD096B">
        <w:rPr>
          <w:rFonts w:ascii="Palatino Linotype" w:hAnsi="Palatino Linotype" w:cs="Tahoma"/>
        </w:rPr>
        <w:lastRenderedPageBreak/>
        <w:t>México y Municipios.</w:t>
      </w:r>
      <w:r w:rsidR="00592A1B" w:rsidRPr="00FD096B">
        <w:rPr>
          <w:rFonts w:ascii="Palatino Linotype" w:hAnsi="Palatino Linotype" w:cs="Tahoma"/>
          <w:i/>
        </w:rPr>
        <w:t xml:space="preserve"> </w:t>
      </w:r>
      <w:r w:rsidR="00C05CDF" w:rsidRPr="00FD096B">
        <w:rPr>
          <w:rFonts w:ascii="Palatino Linotype" w:hAnsi="Palatino Linotype"/>
        </w:rPr>
        <w:t xml:space="preserve">Para resolver el medio de impugnación, la Ponencia Resolutoria determinó </w:t>
      </w:r>
      <w:r w:rsidR="00704503" w:rsidRPr="00FD096B">
        <w:rPr>
          <w:rFonts w:ascii="Palatino Linotype" w:hAnsi="Palatino Linotype"/>
        </w:rPr>
        <w:t xml:space="preserve">sobreseer el recurso de revisión </w:t>
      </w:r>
      <w:r w:rsidR="00DF389F" w:rsidRPr="00FD096B">
        <w:rPr>
          <w:rFonts w:ascii="Palatino Linotype" w:hAnsi="Palatino Linotype"/>
        </w:rPr>
        <w:t xml:space="preserve">03921/INFOEM/IP/RR/2018, e </w:t>
      </w:r>
      <w:r w:rsidR="00C05CDF" w:rsidRPr="00FD096B">
        <w:rPr>
          <w:rFonts w:ascii="Palatino Linotype" w:hAnsi="Palatino Linotype"/>
        </w:rPr>
        <w:t xml:space="preserve">instruir la entrega </w:t>
      </w:r>
      <w:r w:rsidR="007C7865" w:rsidRPr="00FD096B">
        <w:rPr>
          <w:rFonts w:ascii="Palatino Linotype" w:hAnsi="Palatino Linotype"/>
        </w:rPr>
        <w:t>e</w:t>
      </w:r>
      <w:r w:rsidR="00C05CDF" w:rsidRPr="00FD096B">
        <w:rPr>
          <w:rFonts w:ascii="Palatino Linotype" w:hAnsi="Palatino Linotype"/>
        </w:rPr>
        <w:t>n versión pública de:</w:t>
      </w:r>
    </w:p>
    <w:p w:rsidR="003F2950" w:rsidRPr="00FD096B" w:rsidRDefault="003F2950" w:rsidP="000D5587">
      <w:pPr>
        <w:pStyle w:val="Prrafodelista"/>
        <w:numPr>
          <w:ilvl w:val="0"/>
          <w:numId w:val="18"/>
        </w:numPr>
        <w:tabs>
          <w:tab w:val="left" w:pos="5415"/>
        </w:tabs>
        <w:spacing w:after="0" w:line="360" w:lineRule="auto"/>
        <w:ind w:right="51"/>
        <w:contextualSpacing w:val="0"/>
        <w:jc w:val="both"/>
        <w:rPr>
          <w:rFonts w:ascii="Palatino Linotype" w:hAnsi="Palatino Linotype"/>
          <w:b/>
          <w:i/>
          <w:sz w:val="20"/>
          <w:szCs w:val="20"/>
        </w:rPr>
      </w:pPr>
      <w:r w:rsidRPr="00FD096B">
        <w:rPr>
          <w:rFonts w:ascii="Palatino Linotype" w:hAnsi="Palatino Linotype"/>
          <w:i/>
          <w:color w:val="000000"/>
          <w:sz w:val="20"/>
          <w:szCs w:val="20"/>
        </w:rPr>
        <w:t xml:space="preserve">Recibos de nómina de la titular de la unidad de transparencia, de la primera quincena de febrero de dos mil dieciséis a la primera quincena de septiembre de dos mil dieciocho.   </w:t>
      </w:r>
    </w:p>
    <w:p w:rsidR="003F2950" w:rsidRPr="00FD096B" w:rsidRDefault="003F2950" w:rsidP="000D5587">
      <w:pPr>
        <w:pStyle w:val="Prrafodelista"/>
        <w:numPr>
          <w:ilvl w:val="0"/>
          <w:numId w:val="18"/>
        </w:numPr>
        <w:spacing w:after="0" w:line="360" w:lineRule="auto"/>
        <w:contextualSpacing w:val="0"/>
        <w:jc w:val="both"/>
        <w:rPr>
          <w:rFonts w:ascii="Palatino Linotype" w:hAnsi="Palatino Linotype"/>
          <w:i/>
          <w:sz w:val="20"/>
          <w:szCs w:val="20"/>
        </w:rPr>
      </w:pPr>
      <w:r w:rsidRPr="00FD096B">
        <w:rPr>
          <w:rFonts w:ascii="Palatino Linotype" w:hAnsi="Palatino Linotype"/>
          <w:i/>
          <w:sz w:val="20"/>
          <w:szCs w:val="20"/>
        </w:rPr>
        <w:t xml:space="preserve">Formato único de movimiento de personal de la Titular de la Unidad de Transparencia, vigente al diecisiete de septiembre de dos mil dieciocho. </w:t>
      </w:r>
    </w:p>
    <w:p w:rsidR="003F2950" w:rsidRPr="00FD096B" w:rsidRDefault="003F2950" w:rsidP="000D5587">
      <w:pPr>
        <w:pStyle w:val="Prrafodelista"/>
        <w:numPr>
          <w:ilvl w:val="0"/>
          <w:numId w:val="18"/>
        </w:numPr>
        <w:spacing w:after="0" w:line="360" w:lineRule="auto"/>
        <w:contextualSpacing w:val="0"/>
        <w:jc w:val="both"/>
        <w:rPr>
          <w:rFonts w:ascii="Palatino Linotype" w:hAnsi="Palatino Linotype"/>
          <w:i/>
          <w:sz w:val="20"/>
          <w:szCs w:val="20"/>
        </w:rPr>
      </w:pPr>
      <w:r w:rsidRPr="00FD096B">
        <w:rPr>
          <w:rFonts w:ascii="Palatino Linotype" w:hAnsi="Palatino Linotype"/>
          <w:i/>
          <w:sz w:val="20"/>
          <w:szCs w:val="20"/>
        </w:rPr>
        <w:t>Solicitud de empleo elaborada por la Titular de la Unidad de Transparencia.</w:t>
      </w:r>
    </w:p>
    <w:p w:rsidR="003F2950" w:rsidRPr="00FD096B" w:rsidRDefault="003F2950" w:rsidP="000D5587">
      <w:pPr>
        <w:pStyle w:val="Prrafodelista"/>
        <w:numPr>
          <w:ilvl w:val="0"/>
          <w:numId w:val="18"/>
        </w:numPr>
        <w:spacing w:after="0" w:line="360" w:lineRule="auto"/>
        <w:contextualSpacing w:val="0"/>
        <w:jc w:val="both"/>
        <w:rPr>
          <w:rFonts w:ascii="Palatino Linotype" w:hAnsi="Palatino Linotype"/>
          <w:i/>
          <w:sz w:val="20"/>
          <w:szCs w:val="20"/>
        </w:rPr>
      </w:pPr>
      <w:r w:rsidRPr="00FD096B">
        <w:rPr>
          <w:rFonts w:ascii="Palatino Linotype" w:hAnsi="Palatino Linotype"/>
          <w:i/>
          <w:sz w:val="20"/>
          <w:szCs w:val="20"/>
        </w:rPr>
        <w:t xml:space="preserve">Certificado de antecedentes no penales expedida por autoridad competente, a favor de la Titular de la Unidad de Transparencia. </w:t>
      </w:r>
    </w:p>
    <w:p w:rsidR="003F2950" w:rsidRPr="00FD096B" w:rsidRDefault="003F2950" w:rsidP="000D5587">
      <w:pPr>
        <w:pStyle w:val="Prrafodelista"/>
        <w:numPr>
          <w:ilvl w:val="0"/>
          <w:numId w:val="18"/>
        </w:numPr>
        <w:tabs>
          <w:tab w:val="left" w:pos="709"/>
        </w:tabs>
        <w:spacing w:after="0" w:line="360" w:lineRule="auto"/>
        <w:contextualSpacing w:val="0"/>
        <w:jc w:val="both"/>
        <w:rPr>
          <w:rFonts w:ascii="Palatino Linotype" w:hAnsi="Palatino Linotype"/>
          <w:i/>
          <w:sz w:val="20"/>
          <w:szCs w:val="20"/>
        </w:rPr>
      </w:pPr>
      <w:r w:rsidRPr="00FD096B">
        <w:rPr>
          <w:rFonts w:ascii="Palatino Linotype" w:hAnsi="Palatino Linotype"/>
          <w:i/>
          <w:sz w:val="20"/>
          <w:szCs w:val="20"/>
        </w:rPr>
        <w:t xml:space="preserve">Constancia de no inhabilitación expedida por autoridad competente, a favor de la Titular de la Unidad de Transparencia. </w:t>
      </w:r>
    </w:p>
    <w:p w:rsidR="003F2950" w:rsidRPr="00FD096B" w:rsidRDefault="003F2950" w:rsidP="000D5587">
      <w:pPr>
        <w:pStyle w:val="Prrafodelista"/>
        <w:spacing w:after="0"/>
        <w:jc w:val="both"/>
        <w:rPr>
          <w:rFonts w:ascii="Palatino Linotype" w:hAnsi="Palatino Linotype" w:cs="Arial"/>
          <w:bCs/>
          <w:i/>
          <w:sz w:val="20"/>
          <w:szCs w:val="20"/>
        </w:rPr>
      </w:pPr>
      <w:r w:rsidRPr="00FD096B">
        <w:rPr>
          <w:rFonts w:ascii="Palatino Linotype" w:hAnsi="Palatino Linotype" w:cs="Arial"/>
          <w:bCs/>
          <w:i/>
          <w:sz w:val="20"/>
          <w:szCs w:val="20"/>
        </w:rPr>
        <w:t>El Acuerdo del Comité de Transparencia en términos del artículo 49 fracción VIII, 122, 143 fracción I  y 149 de la Ley de Transparencia y Acceso a la Información Pública del Estado de México y Municipios vigente, en el que funde y motive las razones por virtud de las cuales se justifique la clasificación como totalmente confidenciales los documentos precisados en el considerando cuarto de la presente resolución.</w:t>
      </w:r>
    </w:p>
    <w:p w:rsidR="001A3973" w:rsidRPr="00FD096B" w:rsidRDefault="001A3973" w:rsidP="000D5587">
      <w:pPr>
        <w:pStyle w:val="Prrafodelista"/>
        <w:spacing w:after="0" w:line="360" w:lineRule="auto"/>
        <w:ind w:left="927" w:right="616"/>
        <w:jc w:val="both"/>
        <w:rPr>
          <w:rFonts w:ascii="Palatino Linotype" w:eastAsia="Arial Unicode MS" w:hAnsi="Palatino Linotype" w:cs="Tahoma"/>
          <w:i/>
        </w:rPr>
      </w:pPr>
    </w:p>
    <w:p w:rsidR="00DF389F" w:rsidRPr="00FD096B" w:rsidRDefault="00D55306" w:rsidP="000D5587">
      <w:pPr>
        <w:spacing w:after="0" w:line="360" w:lineRule="auto"/>
        <w:jc w:val="both"/>
        <w:rPr>
          <w:rFonts w:ascii="Palatino Linotype" w:hAnsi="Palatino Linotype" w:cs="Arial"/>
          <w:lang w:val="es-MX"/>
        </w:rPr>
      </w:pPr>
      <w:r w:rsidRPr="00FD096B">
        <w:rPr>
          <w:rFonts w:ascii="Palatino Linotype" w:eastAsia="Arial Unicode MS" w:hAnsi="Palatino Linotype" w:cs="Tahoma"/>
        </w:rPr>
        <w:t xml:space="preserve">Al respecto, </w:t>
      </w:r>
      <w:r w:rsidR="005139FC" w:rsidRPr="00FD096B">
        <w:rPr>
          <w:rFonts w:ascii="Palatino Linotype" w:eastAsia="Arial Unicode MS" w:hAnsi="Palatino Linotype" w:cs="Tahoma"/>
        </w:rPr>
        <w:t>si bien</w:t>
      </w:r>
      <w:r w:rsidR="00DF389F" w:rsidRPr="00FD096B">
        <w:rPr>
          <w:rFonts w:ascii="Palatino Linotype" w:eastAsia="Arial Unicode MS" w:hAnsi="Palatino Linotype" w:cs="Tahoma"/>
        </w:rPr>
        <w:t xml:space="preserve"> el suscrito </w:t>
      </w:r>
      <w:r w:rsidR="00DF389F" w:rsidRPr="00FD096B">
        <w:rPr>
          <w:rFonts w:ascii="Palatino Linotype" w:hAnsi="Palatino Linotype" w:cs="Arial"/>
          <w:lang w:val="es-MX"/>
        </w:rPr>
        <w:t>coincide en términos generales con el sentido de la resolución en comento,</w:t>
      </w:r>
      <w:r w:rsidR="000D5587" w:rsidRPr="00FD096B">
        <w:rPr>
          <w:rFonts w:ascii="Palatino Linotype" w:hAnsi="Palatino Linotype" w:cs="Arial"/>
          <w:lang w:val="es-MX"/>
        </w:rPr>
        <w:t xml:space="preserve"> a su vez,</w:t>
      </w:r>
      <w:r w:rsidR="00DF389F" w:rsidRPr="00FD096B">
        <w:rPr>
          <w:rFonts w:ascii="Palatino Linotype" w:hAnsi="Palatino Linotype" w:cs="Arial"/>
          <w:lang w:val="es-MX"/>
        </w:rPr>
        <w:t xml:space="preserve"> estima necesario precisar que en cuanto hace al pronunciamiento por parte de la Ponencia Resolutora</w:t>
      </w:r>
      <w:r w:rsidR="00C8188E" w:rsidRPr="00FD096B">
        <w:rPr>
          <w:rFonts w:ascii="Palatino Linotype" w:hAnsi="Palatino Linotype" w:cs="Arial"/>
          <w:lang w:val="es-MX"/>
        </w:rPr>
        <w:t xml:space="preserve"> de algunos temas el suscrito no coincide con tales determinaciones que a continuación se analizan:</w:t>
      </w:r>
    </w:p>
    <w:p w:rsidR="00C8188E" w:rsidRPr="00FD096B" w:rsidRDefault="00C8188E" w:rsidP="000D5587">
      <w:pPr>
        <w:spacing w:after="0" w:line="360" w:lineRule="auto"/>
        <w:jc w:val="both"/>
        <w:rPr>
          <w:rFonts w:ascii="Palatino Linotype" w:hAnsi="Palatino Linotype" w:cs="Arial"/>
          <w:lang w:val="es-MX"/>
        </w:rPr>
      </w:pPr>
    </w:p>
    <w:p w:rsidR="00C8188E" w:rsidRPr="00FD096B" w:rsidRDefault="00C8188E" w:rsidP="00C8188E">
      <w:pPr>
        <w:pStyle w:val="Prrafodelista"/>
        <w:numPr>
          <w:ilvl w:val="0"/>
          <w:numId w:val="19"/>
        </w:numPr>
        <w:spacing w:after="0" w:line="360" w:lineRule="auto"/>
        <w:jc w:val="both"/>
        <w:rPr>
          <w:rFonts w:ascii="Palatino Linotype" w:eastAsia="Arial Unicode MS" w:hAnsi="Palatino Linotype" w:cs="Tahoma"/>
          <w:b/>
        </w:rPr>
      </w:pPr>
      <w:r w:rsidRPr="00FD096B">
        <w:rPr>
          <w:rFonts w:ascii="Palatino Linotype" w:eastAsia="Arial Unicode MS" w:hAnsi="Palatino Linotype" w:cs="Tahoma"/>
          <w:b/>
        </w:rPr>
        <w:t>Fotografía en Certificado de no antecedentes penales.</w:t>
      </w:r>
    </w:p>
    <w:p w:rsidR="000D5587" w:rsidRPr="00FD096B" w:rsidRDefault="000D5587" w:rsidP="000D5587">
      <w:pPr>
        <w:spacing w:after="0" w:line="360" w:lineRule="auto"/>
        <w:jc w:val="both"/>
        <w:rPr>
          <w:rFonts w:ascii="Palatino Linotype" w:eastAsia="Arial Unicode MS" w:hAnsi="Palatino Linotype" w:cs="Tahoma"/>
        </w:rPr>
      </w:pPr>
    </w:p>
    <w:p w:rsidR="009662F5" w:rsidRPr="00FD096B" w:rsidRDefault="00A101F4"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Referente a la clasificación de la f</w:t>
      </w:r>
      <w:r w:rsidR="00C8188E" w:rsidRPr="00FD096B">
        <w:rPr>
          <w:rFonts w:ascii="Palatino Linotype" w:hAnsi="Palatino Linotype" w:cs="Arial"/>
          <w:lang w:val="es-MX"/>
        </w:rPr>
        <w:t>otografía en el Certificado de no a</w:t>
      </w:r>
      <w:r w:rsidRPr="00FD096B">
        <w:rPr>
          <w:rFonts w:ascii="Palatino Linotype" w:hAnsi="Palatino Linotype" w:cs="Arial"/>
          <w:lang w:val="es-MX"/>
        </w:rPr>
        <w:t xml:space="preserve">ntecedentes </w:t>
      </w:r>
      <w:r w:rsidR="00C8188E" w:rsidRPr="00FD096B">
        <w:rPr>
          <w:rFonts w:ascii="Palatino Linotype" w:hAnsi="Palatino Linotype" w:cs="Arial"/>
          <w:lang w:val="es-MX"/>
        </w:rPr>
        <w:t>p</w:t>
      </w:r>
      <w:r w:rsidRPr="00FD096B">
        <w:rPr>
          <w:rFonts w:ascii="Palatino Linotype" w:hAnsi="Palatino Linotype" w:cs="Arial"/>
          <w:lang w:val="es-MX"/>
        </w:rPr>
        <w:t>enales,</w:t>
      </w:r>
      <w:r w:rsidR="00AF71F1" w:rsidRPr="00FD096B">
        <w:rPr>
          <w:rFonts w:ascii="Palatino Linotype" w:hAnsi="Palatino Linotype" w:cs="Arial"/>
          <w:lang w:val="es-MX"/>
        </w:rPr>
        <w:t xml:space="preserve"> </w:t>
      </w:r>
      <w:r w:rsidR="00B150C1" w:rsidRPr="00FD096B">
        <w:rPr>
          <w:rFonts w:ascii="Palatino Linotype" w:hAnsi="Palatino Linotype" w:cs="Arial"/>
          <w:lang w:val="es-MX"/>
        </w:rPr>
        <w:t>no se comp</w:t>
      </w:r>
      <w:r w:rsidR="009662F5" w:rsidRPr="00FD096B">
        <w:rPr>
          <w:rFonts w:ascii="Palatino Linotype" w:hAnsi="Palatino Linotype" w:cs="Arial"/>
          <w:lang w:val="es-MX"/>
        </w:rPr>
        <w:t>arte el pronunciamiento citado</w:t>
      </w:r>
      <w:r w:rsidR="00C8188E" w:rsidRPr="00FD096B">
        <w:rPr>
          <w:rFonts w:ascii="Palatino Linotype" w:hAnsi="Palatino Linotype" w:cs="Arial"/>
          <w:lang w:val="es-MX"/>
        </w:rPr>
        <w:t xml:space="preserve"> en la Resolución;</w:t>
      </w:r>
      <w:r w:rsidR="009662F5" w:rsidRPr="00FD096B">
        <w:rPr>
          <w:rFonts w:ascii="Palatino Linotype" w:hAnsi="Palatino Linotype" w:cs="Arial"/>
          <w:lang w:val="es-MX"/>
        </w:rPr>
        <w:t xml:space="preserve"> </w:t>
      </w:r>
      <w:r w:rsidR="00C8188E" w:rsidRPr="00FD096B">
        <w:rPr>
          <w:rFonts w:ascii="Palatino Linotype" w:hAnsi="Palatino Linotype" w:cs="Arial"/>
          <w:lang w:val="es-MX"/>
        </w:rPr>
        <w:t>e</w:t>
      </w:r>
      <w:r w:rsidR="009662F5" w:rsidRPr="00FD096B">
        <w:rPr>
          <w:rFonts w:ascii="Palatino Linotype" w:hAnsi="Palatino Linotype" w:cs="Arial"/>
          <w:lang w:val="es-MX"/>
        </w:rPr>
        <w:t xml:space="preserve">n este contexto, resulta necesario traer a colación el artículo 47, fracción III, de la Ley del Trabajo de los Servidores Públicos del Estado y Municipios, </w:t>
      </w:r>
      <w:r w:rsidR="009662F5" w:rsidRPr="00FD096B">
        <w:rPr>
          <w:rFonts w:ascii="Palatino Linotype" w:hAnsi="Palatino Linotype" w:cs="Arial"/>
          <w:b/>
          <w:lang w:val="es-MX"/>
        </w:rPr>
        <w:t xml:space="preserve">que establece que para ingresar al servicio público de cualquier </w:t>
      </w:r>
      <w:r w:rsidR="009662F5" w:rsidRPr="00FD096B">
        <w:rPr>
          <w:rFonts w:ascii="Palatino Linotype" w:hAnsi="Palatino Linotype" w:cs="Arial"/>
          <w:b/>
          <w:lang w:val="es-MX"/>
        </w:rPr>
        <w:lastRenderedPageBreak/>
        <w:t xml:space="preserve">dependencia o institución pública, incluyendo los municipios, </w:t>
      </w:r>
      <w:r w:rsidR="009662F5" w:rsidRPr="00FD096B">
        <w:rPr>
          <w:rFonts w:ascii="Palatino Linotype" w:hAnsi="Palatino Linotype" w:cs="Arial"/>
          <w:b/>
          <w:u w:val="single"/>
          <w:lang w:val="es-MX"/>
        </w:rPr>
        <w:t>la persona deberá acreditar que se encuentra en pleno ejercicio de sus derechos civiles y políticos</w:t>
      </w:r>
      <w:r w:rsidR="009662F5" w:rsidRPr="00FD096B">
        <w:rPr>
          <w:rFonts w:ascii="Palatino Linotype" w:hAnsi="Palatino Linotype" w:cs="Arial"/>
          <w:lang w:val="es-MX"/>
        </w:rPr>
        <w:t>.</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Para acreditar dicha situación, las personas deber</w:t>
      </w:r>
      <w:r w:rsidR="00C8188E" w:rsidRPr="00FD096B">
        <w:rPr>
          <w:rFonts w:ascii="Palatino Linotype" w:hAnsi="Palatino Linotype" w:cs="Arial"/>
          <w:lang w:val="es-MX"/>
        </w:rPr>
        <w:t>án presentar el Certificado de n</w:t>
      </w:r>
      <w:r w:rsidRPr="00FD096B">
        <w:rPr>
          <w:rFonts w:ascii="Palatino Linotype" w:hAnsi="Palatino Linotype" w:cs="Arial"/>
          <w:lang w:val="es-MX"/>
        </w:rPr>
        <w:t xml:space="preserve">o </w:t>
      </w:r>
      <w:r w:rsidR="00C8188E" w:rsidRPr="00FD096B">
        <w:rPr>
          <w:rFonts w:ascii="Palatino Linotype" w:hAnsi="Palatino Linotype" w:cs="Arial"/>
          <w:lang w:val="es-MX"/>
        </w:rPr>
        <w:t>a</w:t>
      </w:r>
      <w:r w:rsidRPr="00FD096B">
        <w:rPr>
          <w:rFonts w:ascii="Palatino Linotype" w:hAnsi="Palatino Linotype" w:cs="Arial"/>
          <w:lang w:val="es-MX"/>
        </w:rPr>
        <w:t xml:space="preserve">ntecedentes </w:t>
      </w:r>
      <w:r w:rsidR="00C8188E" w:rsidRPr="00FD096B">
        <w:rPr>
          <w:rFonts w:ascii="Palatino Linotype" w:hAnsi="Palatino Linotype" w:cs="Arial"/>
          <w:lang w:val="es-MX"/>
        </w:rPr>
        <w:t>p</w:t>
      </w:r>
      <w:r w:rsidRPr="00FD096B">
        <w:rPr>
          <w:rFonts w:ascii="Palatino Linotype" w:hAnsi="Palatino Linotype" w:cs="Arial"/>
          <w:lang w:val="es-MX"/>
        </w:rPr>
        <w:t xml:space="preserve">enales, </w:t>
      </w:r>
      <w:r w:rsidR="00BC2D9D" w:rsidRPr="00FD096B">
        <w:rPr>
          <w:rFonts w:ascii="Palatino Linotype" w:hAnsi="Palatino Linotype" w:cs="Arial"/>
          <w:lang w:val="es-MX"/>
        </w:rPr>
        <w:t xml:space="preserve">el cual </w:t>
      </w:r>
      <w:r w:rsidRPr="00FD096B">
        <w:rPr>
          <w:rFonts w:ascii="Palatino Linotype" w:hAnsi="Palatino Linotype" w:cs="Arial"/>
          <w:lang w:val="es-MX"/>
        </w:rPr>
        <w:t>tiene como propósito</w:t>
      </w:r>
      <w:r w:rsidR="00BC2D9D" w:rsidRPr="00FD096B">
        <w:rPr>
          <w:rFonts w:ascii="Palatino Linotype" w:hAnsi="Palatino Linotype" w:cs="Arial"/>
          <w:lang w:val="es-MX"/>
        </w:rPr>
        <w:t xml:space="preserve"> original</w:t>
      </w:r>
      <w:r w:rsidRPr="00FD096B">
        <w:rPr>
          <w:rFonts w:ascii="Palatino Linotype" w:hAnsi="Palatino Linotype" w:cs="Arial"/>
          <w:lang w:val="es-MX"/>
        </w:rPr>
        <w:t xml:space="preserve">, acreditar si una persona ha sido o no condenada por un delito; además </w:t>
      </w:r>
      <w:r w:rsidR="00BC2D9D" w:rsidRPr="00FD096B">
        <w:rPr>
          <w:rFonts w:ascii="Palatino Linotype" w:hAnsi="Palatino Linotype" w:cs="Arial"/>
          <w:lang w:val="es-MX"/>
        </w:rPr>
        <w:t xml:space="preserve">de </w:t>
      </w:r>
      <w:r w:rsidRPr="00FD096B">
        <w:rPr>
          <w:rFonts w:ascii="Palatino Linotype" w:hAnsi="Palatino Linotype" w:cs="Arial"/>
          <w:lang w:val="es-MX"/>
        </w:rPr>
        <w:t xml:space="preserve">que </w:t>
      </w:r>
      <w:r w:rsidR="00BC2D9D" w:rsidRPr="00FD096B">
        <w:rPr>
          <w:rFonts w:ascii="Palatino Linotype" w:hAnsi="Palatino Linotype" w:cs="Arial"/>
          <w:lang w:val="es-MX"/>
        </w:rPr>
        <w:t xml:space="preserve">dicho documento </w:t>
      </w:r>
      <w:r w:rsidRPr="00FD096B">
        <w:rPr>
          <w:rFonts w:ascii="Palatino Linotype" w:hAnsi="Palatino Linotype" w:cs="Arial"/>
          <w:lang w:val="es-MX"/>
        </w:rPr>
        <w:t>únicamente se limitará a señalar, que conforme a los datos proporcionados, la persona de que se trate, cuenta</w:t>
      </w:r>
      <w:r w:rsidR="00BC2D9D" w:rsidRPr="00FD096B">
        <w:rPr>
          <w:rFonts w:ascii="Palatino Linotype" w:hAnsi="Palatino Linotype" w:cs="Arial"/>
          <w:lang w:val="es-MX"/>
        </w:rPr>
        <w:t xml:space="preserve"> o no</w:t>
      </w:r>
      <w:r w:rsidRPr="00FD096B">
        <w:rPr>
          <w:rFonts w:ascii="Palatino Linotype" w:hAnsi="Palatino Linotype" w:cs="Arial"/>
          <w:lang w:val="es-MX"/>
        </w:rPr>
        <w:t xml:space="preserve"> con antecedentes penales; de conformidad con lo establecido en el Acuerdo número 14/2011, del Procurador General de Justicia del Estado de México, por el que se establecen los Lineamientos para expedición de informes y certificados de no antecedentes penales, publicado en la “Gaceta de Gobierno” el treinta de noviembre de dos mil once.</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 xml:space="preserve">En los Considerando de los Lineamientos antes señalados, se precisa lo siguiente: </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ind w:left="567" w:right="567"/>
        <w:jc w:val="both"/>
        <w:rPr>
          <w:rFonts w:ascii="Palatino Linotype" w:hAnsi="Palatino Linotype" w:cs="Arial"/>
          <w:sz w:val="20"/>
          <w:szCs w:val="20"/>
          <w:lang w:val="es-MX"/>
        </w:rPr>
      </w:pPr>
      <w:r w:rsidRPr="00FD096B">
        <w:rPr>
          <w:rFonts w:ascii="Palatino Linotype" w:hAnsi="Palatino Linotype" w:cs="Arial"/>
          <w:sz w:val="20"/>
          <w:szCs w:val="20"/>
          <w:lang w:val="es-MX"/>
        </w:rPr>
        <w:t xml:space="preserve">Que en tal virtud, mediante Decreto publicado en el Periódico Oficial "Gaceta del Gobierno" el 26 de octubre de 2011, se adicionó el artículo 13 Bis a la Ley Orgánica de la Procuraduría General de Justicia del Estado de México, por el cua1 se dispone que el Instituto de Servicios Periciales </w:t>
      </w:r>
      <w:r w:rsidRPr="00FD096B">
        <w:rPr>
          <w:rFonts w:ascii="Palatino Linotype" w:hAnsi="Palatino Linotype" w:cs="Arial"/>
          <w:b/>
          <w:sz w:val="20"/>
          <w:szCs w:val="20"/>
          <w:lang w:val="es-MX"/>
        </w:rPr>
        <w:t>únicamente expedirá certificados de antecedentes penales en los casos en que las leyes lo exijan coma forma para acreditar requisitos para el desempeño de empleos, cargos o comisiones en el servicio público</w:t>
      </w:r>
      <w:r w:rsidRPr="00FD096B">
        <w:rPr>
          <w:rFonts w:ascii="Palatino Linotype" w:hAnsi="Palatino Linotype" w:cs="Arial"/>
          <w:sz w:val="20"/>
          <w:szCs w:val="20"/>
          <w:lang w:val="es-MX"/>
        </w:rPr>
        <w:t>, en instituciones de seguridad u otros que las propias leyes establezcan, o bien, cuando sea requerido, de manera fundada y motivada, por las autoridades judiciales o administrativas competentes;</w:t>
      </w:r>
    </w:p>
    <w:p w:rsidR="009662F5" w:rsidRPr="00FD096B" w:rsidRDefault="009662F5" w:rsidP="009662F5">
      <w:pPr>
        <w:spacing w:after="0" w:line="360" w:lineRule="auto"/>
        <w:ind w:left="567" w:right="567"/>
        <w:jc w:val="both"/>
        <w:rPr>
          <w:rFonts w:ascii="Palatino Linotype" w:hAnsi="Palatino Linotype" w:cs="Arial"/>
          <w:sz w:val="20"/>
          <w:szCs w:val="20"/>
          <w:lang w:val="es-MX"/>
        </w:rPr>
      </w:pPr>
      <w:r w:rsidRPr="00FD096B">
        <w:rPr>
          <w:rFonts w:ascii="Palatino Linotype" w:hAnsi="Palatino Linotype" w:cs="Arial"/>
          <w:sz w:val="20"/>
          <w:szCs w:val="20"/>
          <w:lang w:val="es-MX"/>
        </w:rPr>
        <w:t>(Énfasis añadido).</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 xml:space="preserve">En ese contexto, para poder acceder a un cargo como servidor público, es necesario proporcionar el Certificado de </w:t>
      </w:r>
      <w:r w:rsidR="00C8188E" w:rsidRPr="00FD096B">
        <w:rPr>
          <w:rFonts w:ascii="Palatino Linotype" w:hAnsi="Palatino Linotype" w:cs="Arial"/>
          <w:lang w:val="es-MX"/>
        </w:rPr>
        <w:t>n</w:t>
      </w:r>
      <w:r w:rsidRPr="00FD096B">
        <w:rPr>
          <w:rFonts w:ascii="Palatino Linotype" w:hAnsi="Palatino Linotype" w:cs="Arial"/>
          <w:lang w:val="es-MX"/>
        </w:rPr>
        <w:t xml:space="preserve">o </w:t>
      </w:r>
      <w:r w:rsidR="00C8188E" w:rsidRPr="00FD096B">
        <w:rPr>
          <w:rFonts w:ascii="Palatino Linotype" w:hAnsi="Palatino Linotype" w:cs="Arial"/>
          <w:lang w:val="es-MX"/>
        </w:rPr>
        <w:t>a</w:t>
      </w:r>
      <w:r w:rsidRPr="00FD096B">
        <w:rPr>
          <w:rFonts w:ascii="Palatino Linotype" w:hAnsi="Palatino Linotype" w:cs="Arial"/>
          <w:lang w:val="es-MX"/>
        </w:rPr>
        <w:t xml:space="preserve">ntecedentes </w:t>
      </w:r>
      <w:r w:rsidR="00C8188E" w:rsidRPr="00FD096B">
        <w:rPr>
          <w:rFonts w:ascii="Palatino Linotype" w:hAnsi="Palatino Linotype" w:cs="Arial"/>
          <w:lang w:val="es-MX"/>
        </w:rPr>
        <w:t>p</w:t>
      </w:r>
      <w:r w:rsidRPr="00FD096B">
        <w:rPr>
          <w:rFonts w:ascii="Palatino Linotype" w:hAnsi="Palatino Linotype" w:cs="Arial"/>
          <w:lang w:val="es-MX"/>
        </w:rPr>
        <w:t>enales, con el fin de acreditar</w:t>
      </w:r>
      <w:r w:rsidR="00BC2D9D" w:rsidRPr="00FD096B">
        <w:rPr>
          <w:rFonts w:ascii="Palatino Linotype" w:hAnsi="Palatino Linotype" w:cs="Arial"/>
          <w:lang w:val="es-MX"/>
        </w:rPr>
        <w:t xml:space="preserve">, no el hecho </w:t>
      </w:r>
      <w:r w:rsidR="00BC2D9D" w:rsidRPr="00FD096B">
        <w:rPr>
          <w:rFonts w:ascii="Palatino Linotype" w:hAnsi="Palatino Linotype" w:cs="Arial"/>
          <w:lang w:val="es-MX"/>
        </w:rPr>
        <w:lastRenderedPageBreak/>
        <w:t>de si el aspirante a servidor público ha sido o no condenado por un delito, sino</w:t>
      </w:r>
      <w:r w:rsidRPr="00FD096B">
        <w:rPr>
          <w:rFonts w:ascii="Palatino Linotype" w:hAnsi="Palatino Linotype" w:cs="Arial"/>
          <w:lang w:val="es-MX"/>
        </w:rPr>
        <w:t xml:space="preserve"> que se encuentra en pleno ejercicio de </w:t>
      </w:r>
      <w:r w:rsidR="00BC2D9D" w:rsidRPr="00FD096B">
        <w:rPr>
          <w:rFonts w:ascii="Palatino Linotype" w:hAnsi="Palatino Linotype" w:cs="Arial"/>
          <w:lang w:val="es-MX"/>
        </w:rPr>
        <w:t>sus</w:t>
      </w:r>
      <w:r w:rsidRPr="00FD096B">
        <w:rPr>
          <w:rFonts w:ascii="Palatino Linotype" w:hAnsi="Palatino Linotype" w:cs="Arial"/>
          <w:lang w:val="es-MX"/>
        </w:rPr>
        <w:t xml:space="preserve"> derechos civiles y políticos; ya que únicamente señala si el posible servidor público fue o no condenado por la comisión de algún hecho ilícito. Por tanto, se considera procedente su entrega.</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En ese sentido, cabe precisar que dicho documento cuenta con diversos datos, tales como el nombre del servidor público, el nombre, cargo y firma del encargado de emitir el Certificado en análisis, el sello institucional, así como, la manifestación referente a que si existen o no antecedentes penales, los cuales se consideran datos de carácter público, pues dan cuenta de la razón del documento en cuestión, que tiene con fin conocer si la persona ha cometido algún delito o no.</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 xml:space="preserve">Al respecto, es importante traer a colación que el certificado </w:t>
      </w:r>
      <w:r w:rsidR="00C8188E" w:rsidRPr="00FD096B">
        <w:rPr>
          <w:rFonts w:ascii="Palatino Linotype" w:hAnsi="Palatino Linotype" w:cs="Arial"/>
          <w:lang w:val="es-MX"/>
        </w:rPr>
        <w:t>de No antecedentes p</w:t>
      </w:r>
      <w:r w:rsidRPr="00FD096B">
        <w:rPr>
          <w:rFonts w:ascii="Palatino Linotype" w:hAnsi="Palatino Linotype" w:cs="Arial"/>
          <w:lang w:val="es-MX"/>
        </w:rPr>
        <w:t>enales cumple dos objetivos; el primero es el que se busca con la entrega para el expediente laboral que es, verificar que la persona que pretenda acceder a un cargo público, se encuentra en pleno goce de sus derechos político electorales; esto quiere decir</w:t>
      </w:r>
      <w:r w:rsidR="00C03103" w:rsidRPr="00FD096B">
        <w:rPr>
          <w:rFonts w:ascii="Palatino Linotype" w:hAnsi="Palatino Linotype" w:cs="Arial"/>
          <w:lang w:val="es-MX"/>
        </w:rPr>
        <w:t>,</w:t>
      </w:r>
      <w:r w:rsidRPr="00FD096B">
        <w:rPr>
          <w:rFonts w:ascii="Palatino Linotype" w:hAnsi="Palatino Linotype" w:cs="Arial"/>
          <w:lang w:val="es-MX"/>
        </w:rPr>
        <w:t xml:space="preserve"> que la pertinencia del documento para el caso que nos ocupa, no tiene relación con el segundo objetivo del certificado, que es la de conocer si, la persona ha sido sentenciada por la comisión de algún delito.</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No debe considerarse que el objetivo de la presentación de dicho documento tiene como finalidad ejercer un segundo juicio sobre los antecedentes penales de un individuo, en virtud de que las causas y el tipo de delitos que, en su caso se hubieran sancionado con una sentencia condenatoria, no se explican en dicho documento, de tal suerte que no es posible verificar si la sentencia se trató por un delito grave que amerite pena corporal o por un delito menor como daños a terceros.</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 xml:space="preserve">Bajo este escenario, el documento ideal, para verificar que el servidor público se encuentra en pleno goce de sus derechos civiles y políticos es justamente el Certificado de No Antecedentes Penales y, al tratarse de un requisito legal, la Fiscalía General de Justicia lo emite para el ingreso al servicio público; en este orden de ideas </w:t>
      </w:r>
      <w:r w:rsidR="006A319B" w:rsidRPr="00FD096B">
        <w:rPr>
          <w:rFonts w:ascii="Palatino Linotype" w:hAnsi="Palatino Linotype" w:cs="Arial"/>
          <w:lang w:val="es-MX"/>
        </w:rPr>
        <w:t>coincido con</w:t>
      </w:r>
      <w:r w:rsidRPr="00FD096B">
        <w:rPr>
          <w:rFonts w:ascii="Palatino Linotype" w:hAnsi="Palatino Linotype" w:cs="Arial"/>
          <w:lang w:val="es-MX"/>
        </w:rPr>
        <w:t xml:space="preserve"> su entrega.</w:t>
      </w:r>
    </w:p>
    <w:p w:rsidR="009662F5" w:rsidRPr="00FD096B" w:rsidRDefault="009662F5" w:rsidP="009662F5">
      <w:pPr>
        <w:spacing w:after="0" w:line="360" w:lineRule="auto"/>
        <w:jc w:val="both"/>
        <w:rPr>
          <w:rFonts w:ascii="Palatino Linotype" w:hAnsi="Palatino Linotype" w:cs="Arial"/>
          <w:lang w:val="es-MX"/>
        </w:rPr>
      </w:pPr>
    </w:p>
    <w:p w:rsidR="009662F5"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 xml:space="preserve">Por lo que refiere a la fotografía que se inserta en dicho documento, el cual es un requisito para acreditar el cumplimiento de disposiciones legales, </w:t>
      </w:r>
      <w:r w:rsidR="006A319B" w:rsidRPr="00FD096B">
        <w:rPr>
          <w:rFonts w:ascii="Palatino Linotype" w:hAnsi="Palatino Linotype" w:cs="Arial"/>
          <w:lang w:val="es-MX"/>
        </w:rPr>
        <w:t xml:space="preserve">como ha quedado señalado, </w:t>
      </w:r>
      <w:r w:rsidRPr="00FD096B">
        <w:rPr>
          <w:rFonts w:ascii="Palatino Linotype" w:hAnsi="Palatino Linotype" w:cs="Arial"/>
          <w:lang w:val="es-MX"/>
        </w:rPr>
        <w:t>dicho dato amerita de igual manera un análisis particular pues la publicidad o clasificación de la imagen de un servidor público, debe realizarse a partir del principio de finalidad de su recolección y del documento en donde se inserta.</w:t>
      </w:r>
    </w:p>
    <w:p w:rsidR="009662F5" w:rsidRPr="00FD096B" w:rsidRDefault="009662F5" w:rsidP="009662F5">
      <w:pPr>
        <w:spacing w:after="0" w:line="360" w:lineRule="auto"/>
        <w:jc w:val="both"/>
        <w:rPr>
          <w:rFonts w:ascii="Palatino Linotype" w:hAnsi="Palatino Linotype" w:cs="Arial"/>
          <w:lang w:val="es-MX"/>
        </w:rPr>
      </w:pPr>
    </w:p>
    <w:p w:rsidR="00733F0E" w:rsidRPr="00FD096B" w:rsidRDefault="009662F5" w:rsidP="009662F5">
      <w:pPr>
        <w:spacing w:after="0" w:line="360" w:lineRule="auto"/>
        <w:jc w:val="both"/>
        <w:rPr>
          <w:rFonts w:ascii="Palatino Linotype" w:hAnsi="Palatino Linotype" w:cs="Arial"/>
          <w:lang w:val="es-MX"/>
        </w:rPr>
      </w:pPr>
      <w:r w:rsidRPr="00FD096B">
        <w:rPr>
          <w:rFonts w:ascii="Palatino Linotype" w:hAnsi="Palatino Linotype" w:cs="Arial"/>
          <w:lang w:val="es-MX"/>
        </w:rPr>
        <w:t>En est</w:t>
      </w:r>
      <w:r w:rsidR="006A319B" w:rsidRPr="00FD096B">
        <w:rPr>
          <w:rFonts w:ascii="Palatino Linotype" w:hAnsi="Palatino Linotype" w:cs="Arial"/>
          <w:lang w:val="es-MX"/>
        </w:rPr>
        <w:t>e caso, para la expedición del Certificado de no a</w:t>
      </w:r>
      <w:r w:rsidRPr="00FD096B">
        <w:rPr>
          <w:rFonts w:ascii="Palatino Linotype" w:hAnsi="Palatino Linotype" w:cs="Arial"/>
          <w:lang w:val="es-MX"/>
        </w:rPr>
        <w:t xml:space="preserve">ntecedentes </w:t>
      </w:r>
      <w:r w:rsidR="006A319B" w:rsidRPr="00FD096B">
        <w:rPr>
          <w:rFonts w:ascii="Palatino Linotype" w:hAnsi="Palatino Linotype" w:cs="Arial"/>
          <w:lang w:val="es-MX"/>
        </w:rPr>
        <w:t>p</w:t>
      </w:r>
      <w:r w:rsidRPr="00FD096B">
        <w:rPr>
          <w:rFonts w:ascii="Palatino Linotype" w:hAnsi="Palatino Linotype" w:cs="Arial"/>
          <w:lang w:val="es-MX"/>
        </w:rPr>
        <w:t>enales, el Séptimo de los Lineamientos para exped</w:t>
      </w:r>
      <w:bookmarkStart w:id="0" w:name="_GoBack"/>
      <w:bookmarkEnd w:id="0"/>
      <w:r w:rsidRPr="00FD096B">
        <w:rPr>
          <w:rFonts w:ascii="Palatino Linotype" w:hAnsi="Palatino Linotype" w:cs="Arial"/>
          <w:lang w:val="es-MX"/>
        </w:rPr>
        <w:t>ición de informes y certificados de no antecedentes penales, determina que para la expedición del Certificado de No Antecedentes Penales, el Instituto de Servicios Periciales deberá recabar constancia del pago de derechos respectivo, copia de identificación oficial, fotografías y huellas dactilares del interesado, conforme a la normatividad aplicable.</w:t>
      </w:r>
    </w:p>
    <w:p w:rsidR="009662F5" w:rsidRPr="00FD096B" w:rsidRDefault="009662F5" w:rsidP="009662F5">
      <w:pPr>
        <w:spacing w:after="0" w:line="360" w:lineRule="auto"/>
        <w:jc w:val="both"/>
        <w:rPr>
          <w:rFonts w:ascii="Palatino Linotype" w:hAnsi="Palatino Linotype" w:cs="Arial"/>
          <w:lang w:val="es-MX"/>
        </w:rPr>
      </w:pPr>
    </w:p>
    <w:p w:rsidR="00B150C1" w:rsidRPr="00FD096B" w:rsidRDefault="009662F5" w:rsidP="00B150C1">
      <w:pPr>
        <w:spacing w:after="0" w:line="360" w:lineRule="auto"/>
        <w:jc w:val="both"/>
        <w:rPr>
          <w:rFonts w:ascii="Palatino Linotype" w:hAnsi="Palatino Linotype" w:cs="Arial"/>
          <w:lang w:val="es-MX"/>
        </w:rPr>
      </w:pPr>
      <w:r w:rsidRPr="00FD096B">
        <w:rPr>
          <w:rFonts w:ascii="Palatino Linotype" w:hAnsi="Palatino Linotype" w:cs="Arial"/>
          <w:lang w:val="es-MX"/>
        </w:rPr>
        <w:t xml:space="preserve">De tal suerte, la fotografía es un requisito para la expedición del certificado en análisis, el cual se realizará únicamente cuando la ley lo exija; esto quiere decir que la fotografía tiene por objeto que se pueda constatar el nombre de la persona con su identidad; por ejemplo, para evitar que una persona con nombre idéntico, lo presente (homónimo) como propio, para evitar acreditar que se encuentra en pleno ejercicio de sus derechos civiles y políticos, de ahí el interés público de que en este documento se permita el acceso a la fotografía, en virtud de que este dato es necesario para corroborar que la persona que lo presenta es </w:t>
      </w:r>
      <w:r w:rsidRPr="00FD096B">
        <w:rPr>
          <w:rFonts w:ascii="Palatino Linotype" w:hAnsi="Palatino Linotype" w:cs="Arial"/>
          <w:lang w:val="es-MX"/>
        </w:rPr>
        <w:lastRenderedPageBreak/>
        <w:t>aquella a quien se le expidió, es idóneo, toda vez que se el certificado junto con el nombre y la fotografía permiten verificar que el servidor público al momento de su ingreso gozaba o goza de sus derechos político electorales, además de que su publicidad es proporcional en función de que, se concede acceso a una versión pública en la que se elimine la información confidencial como la huella dactilar y se privilegia la publicación de los datos que permiten verificar el cumplimiento de disposiciones legales como la fotografía, por lo que  no existe invasión a la vida privada de las personas.</w:t>
      </w:r>
    </w:p>
    <w:p w:rsidR="006A319B" w:rsidRPr="00FD096B" w:rsidRDefault="006A319B" w:rsidP="00B150C1">
      <w:pPr>
        <w:spacing w:after="0" w:line="360" w:lineRule="auto"/>
        <w:jc w:val="both"/>
        <w:rPr>
          <w:rFonts w:ascii="Palatino Linotype" w:hAnsi="Palatino Linotype" w:cs="Arial"/>
          <w:lang w:val="es-MX"/>
        </w:rPr>
      </w:pPr>
    </w:p>
    <w:p w:rsidR="006A319B" w:rsidRPr="00FD096B" w:rsidRDefault="006A319B" w:rsidP="006A319B">
      <w:pPr>
        <w:pStyle w:val="Prrafodelista"/>
        <w:numPr>
          <w:ilvl w:val="0"/>
          <w:numId w:val="19"/>
        </w:numPr>
        <w:spacing w:after="0" w:line="360" w:lineRule="auto"/>
        <w:jc w:val="both"/>
        <w:rPr>
          <w:rFonts w:ascii="Palatino Linotype" w:hAnsi="Palatino Linotype" w:cs="Arial"/>
          <w:b/>
          <w:lang w:val="es-MX"/>
        </w:rPr>
      </w:pPr>
      <w:r w:rsidRPr="00FD096B">
        <w:rPr>
          <w:rFonts w:ascii="Palatino Linotype" w:hAnsi="Palatino Linotype" w:cs="Arial"/>
          <w:b/>
          <w:lang w:val="es-MX"/>
        </w:rPr>
        <w:t>Cadenas y sellos digitales en recibos de nómina.</w:t>
      </w:r>
    </w:p>
    <w:p w:rsidR="00B150C1" w:rsidRPr="00FD096B" w:rsidRDefault="00B150C1" w:rsidP="00B150C1">
      <w:pPr>
        <w:spacing w:after="0" w:line="360" w:lineRule="auto"/>
        <w:ind w:left="709" w:right="757"/>
        <w:jc w:val="both"/>
        <w:rPr>
          <w:rFonts w:ascii="Palatino Linotype" w:hAnsi="Palatino Linotype" w:cs="Arial"/>
          <w:i/>
        </w:rPr>
      </w:pPr>
    </w:p>
    <w:p w:rsidR="00B73847" w:rsidRPr="00FD096B" w:rsidRDefault="009A6775" w:rsidP="000D5587">
      <w:pPr>
        <w:spacing w:after="0" w:line="360" w:lineRule="auto"/>
        <w:jc w:val="both"/>
        <w:rPr>
          <w:rFonts w:ascii="Palatino Linotype" w:hAnsi="Palatino Linotype" w:cs="Tahoma"/>
        </w:rPr>
      </w:pPr>
      <w:r w:rsidRPr="00FD096B">
        <w:rPr>
          <w:rFonts w:ascii="Palatino Linotype" w:hAnsi="Palatino Linotype" w:cs="Tahoma"/>
        </w:rPr>
        <w:t xml:space="preserve">Por cuanto hace a la clasificación de cadenas y sellos digitales, </w:t>
      </w:r>
      <w:r w:rsidR="00266EEE" w:rsidRPr="00FD096B">
        <w:rPr>
          <w:rFonts w:ascii="Palatino Linotype" w:hAnsi="Palatino Linotype" w:cs="Tahoma"/>
        </w:rPr>
        <w:t>el suscrito ha diferido de su clasificación como información confidencial ya que estos no contienen datos personales. Al respecto,</w:t>
      </w:r>
      <w:r w:rsidRPr="00FD096B">
        <w:rPr>
          <w:rFonts w:ascii="Palatino Linotype" w:hAnsi="Palatino Linotype" w:cs="Tahoma"/>
        </w:rPr>
        <w:t xml:space="preserve"> destaca que </w:t>
      </w:r>
      <w:r w:rsidR="003D400A" w:rsidRPr="00FD096B">
        <w:rPr>
          <w:rFonts w:ascii="Palatino Linotype" w:hAnsi="Palatino Linotype" w:cs="Tahoma"/>
        </w:rPr>
        <w:t>se trata de una serie de números, letras y símbolos que no dan cuenta de RFC, CURP o algún otro dato confidencial</w:t>
      </w:r>
      <w:r w:rsidR="00D6548F" w:rsidRPr="00FD096B">
        <w:rPr>
          <w:rFonts w:ascii="Palatino Linotype" w:eastAsia="Arial Unicode MS" w:hAnsi="Palatino Linotype" w:cs="Tahoma"/>
        </w:rPr>
        <w:t xml:space="preserve">. </w:t>
      </w:r>
      <w:r w:rsidR="000117EA" w:rsidRPr="00FD096B">
        <w:rPr>
          <w:rFonts w:ascii="Palatino Linotype" w:eastAsia="Arial Unicode MS" w:hAnsi="Palatino Linotype" w:cs="Tahoma"/>
        </w:rPr>
        <w:t xml:space="preserve"> </w:t>
      </w:r>
      <w:r w:rsidR="00B73847" w:rsidRPr="00FD096B">
        <w:rPr>
          <w:rFonts w:ascii="Palatino Linotype" w:eastAsia="Arial Unicode MS" w:hAnsi="Palatino Linotype" w:cs="Tahoma"/>
        </w:rPr>
        <w:t xml:space="preserve">A manera de ejemplo, se reproduce el sello </w:t>
      </w:r>
      <w:r w:rsidR="003F7CBE" w:rsidRPr="00FD096B">
        <w:rPr>
          <w:rFonts w:ascii="Palatino Linotype" w:eastAsia="Arial Unicode MS" w:hAnsi="Palatino Linotype" w:cs="Tahoma"/>
        </w:rPr>
        <w:t xml:space="preserve">y la cadena original </w:t>
      </w:r>
      <w:r w:rsidR="00B73847" w:rsidRPr="00FD096B">
        <w:rPr>
          <w:rFonts w:ascii="Palatino Linotype" w:eastAsia="Arial Unicode MS" w:hAnsi="Palatino Linotype" w:cs="Tahoma"/>
        </w:rPr>
        <w:t>de un recibo de nómina.</w:t>
      </w:r>
    </w:p>
    <w:p w:rsidR="00B73847" w:rsidRPr="00FD096B" w:rsidRDefault="00B73847" w:rsidP="00266EEE">
      <w:pPr>
        <w:spacing w:after="0" w:line="360" w:lineRule="auto"/>
        <w:jc w:val="center"/>
        <w:rPr>
          <w:rFonts w:ascii="Palatino Linotype" w:eastAsia="Arial Unicode MS" w:hAnsi="Palatino Linotype" w:cs="Tahoma"/>
        </w:rPr>
      </w:pPr>
      <w:r w:rsidRPr="00FD096B">
        <w:rPr>
          <w:rFonts w:ascii="Palatino Linotype" w:hAnsi="Palatino Linotype"/>
          <w:noProof/>
          <w:lang w:val="es-MX" w:eastAsia="es-MX"/>
        </w:rPr>
        <w:drawing>
          <wp:inline distT="0" distB="0" distL="0" distR="0" wp14:anchorId="0CAA75A8" wp14:editId="0B1BB918">
            <wp:extent cx="4681242" cy="1580379"/>
            <wp:effectExtent l="0" t="0" r="508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4813302" cy="1624962"/>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FD096B" w:rsidRDefault="00722FE9" w:rsidP="000D5587">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 </w:t>
      </w:r>
    </w:p>
    <w:p w:rsidR="00B73847" w:rsidRPr="00FD096B" w:rsidRDefault="00B73847" w:rsidP="000D5587">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Como se aprecia, de la secuencia de números y letras, no se advierte </w:t>
      </w:r>
      <w:r w:rsidR="00B30925" w:rsidRPr="00FD096B">
        <w:rPr>
          <w:rFonts w:ascii="Palatino Linotype" w:eastAsia="Arial Unicode MS" w:hAnsi="Palatino Linotype" w:cs="Tahoma"/>
        </w:rPr>
        <w:t>un</w:t>
      </w:r>
      <w:r w:rsidRPr="00FD096B">
        <w:rPr>
          <w:rFonts w:ascii="Palatino Linotype" w:eastAsia="Arial Unicode MS" w:hAnsi="Palatino Linotype" w:cs="Tahoma"/>
        </w:rPr>
        <w:t xml:space="preserve"> RFC o </w:t>
      </w:r>
      <w:r w:rsidR="00B30925" w:rsidRPr="00FD096B">
        <w:rPr>
          <w:rFonts w:ascii="Palatino Linotype" w:eastAsia="Arial Unicode MS" w:hAnsi="Palatino Linotype" w:cs="Tahoma"/>
        </w:rPr>
        <w:t>una clave</w:t>
      </w:r>
      <w:r w:rsidRPr="00FD096B">
        <w:rPr>
          <w:rFonts w:ascii="Palatino Linotype" w:eastAsia="Arial Unicode MS" w:hAnsi="Palatino Linotype" w:cs="Tahoma"/>
        </w:rPr>
        <w:t xml:space="preserve"> CURP, que pudiera hacer identificable a</w:t>
      </w:r>
      <w:r w:rsidR="002C7EBD" w:rsidRPr="00FD096B">
        <w:rPr>
          <w:rFonts w:ascii="Palatino Linotype" w:eastAsia="Arial Unicode MS" w:hAnsi="Palatino Linotype" w:cs="Tahoma"/>
        </w:rPr>
        <w:t>l</w:t>
      </w:r>
      <w:r w:rsidRPr="00FD096B">
        <w:rPr>
          <w:rFonts w:ascii="Palatino Linotype" w:eastAsia="Arial Unicode MS" w:hAnsi="Palatino Linotype" w:cs="Tahoma"/>
        </w:rPr>
        <w:t xml:space="preserve"> titular</w:t>
      </w:r>
      <w:r w:rsidR="002C7EBD" w:rsidRPr="00FD096B">
        <w:rPr>
          <w:rFonts w:ascii="Palatino Linotype" w:eastAsia="Arial Unicode MS" w:hAnsi="Palatino Linotype" w:cs="Tahoma"/>
        </w:rPr>
        <w:t xml:space="preserve"> del recibo de nómina del ejemplo citado</w:t>
      </w:r>
      <w:r w:rsidRPr="00FD096B">
        <w:rPr>
          <w:rFonts w:ascii="Palatino Linotype" w:eastAsia="Arial Unicode MS" w:hAnsi="Palatino Linotype" w:cs="Tahoma"/>
        </w:rPr>
        <w:t>, a diferencia del Código QR, que con</w:t>
      </w:r>
      <w:r w:rsidR="00B30925" w:rsidRPr="00FD096B">
        <w:rPr>
          <w:rFonts w:ascii="Palatino Linotype" w:eastAsia="Arial Unicode MS" w:hAnsi="Palatino Linotype" w:cs="Tahoma"/>
        </w:rPr>
        <w:t xml:space="preserve"> </w:t>
      </w:r>
      <w:r w:rsidR="00B44777" w:rsidRPr="00FD096B">
        <w:rPr>
          <w:rFonts w:ascii="Palatino Linotype" w:eastAsia="Arial Unicode MS" w:hAnsi="Palatino Linotype" w:cs="Tahoma"/>
        </w:rPr>
        <w:t xml:space="preserve">el </w:t>
      </w:r>
      <w:r w:rsidR="00B30925" w:rsidRPr="00FD096B">
        <w:rPr>
          <w:rFonts w:ascii="Palatino Linotype" w:eastAsia="Arial Unicode MS" w:hAnsi="Palatino Linotype" w:cs="Tahoma"/>
        </w:rPr>
        <w:t>simple</w:t>
      </w:r>
      <w:r w:rsidRPr="00FD096B">
        <w:rPr>
          <w:rFonts w:ascii="Palatino Linotype" w:eastAsia="Arial Unicode MS" w:hAnsi="Palatino Linotype" w:cs="Tahoma"/>
        </w:rPr>
        <w:t xml:space="preserve"> el escaneo con cualquier aparato de celular, permite acceder al RFC. </w:t>
      </w:r>
      <w:r w:rsidR="002C7EBD" w:rsidRPr="00FD096B">
        <w:rPr>
          <w:rFonts w:ascii="Palatino Linotype" w:eastAsia="Arial Unicode MS" w:hAnsi="Palatino Linotype" w:cs="Tahoma"/>
        </w:rPr>
        <w:t>Por el contrario, debe considerarse que</w:t>
      </w:r>
      <w:r w:rsidRPr="00FD096B">
        <w:rPr>
          <w:rFonts w:ascii="Palatino Linotype" w:eastAsia="Arial Unicode MS" w:hAnsi="Palatino Linotype" w:cs="Tahoma"/>
        </w:rPr>
        <w:t xml:space="preserve"> </w:t>
      </w:r>
      <w:r w:rsidR="00B30925" w:rsidRPr="00FD096B">
        <w:rPr>
          <w:rFonts w:ascii="Palatino Linotype" w:eastAsia="Arial Unicode MS" w:hAnsi="Palatino Linotype" w:cs="Tahoma"/>
        </w:rPr>
        <w:t>esta información</w:t>
      </w:r>
      <w:r w:rsidRPr="00FD096B">
        <w:rPr>
          <w:rFonts w:ascii="Palatino Linotype" w:eastAsia="Arial Unicode MS" w:hAnsi="Palatino Linotype" w:cs="Tahoma"/>
        </w:rPr>
        <w:t xml:space="preserve"> inclu</w:t>
      </w:r>
      <w:r w:rsidR="002C7EBD" w:rsidRPr="00FD096B">
        <w:rPr>
          <w:rFonts w:ascii="Palatino Linotype" w:eastAsia="Arial Unicode MS" w:hAnsi="Palatino Linotype" w:cs="Tahoma"/>
        </w:rPr>
        <w:t>id</w:t>
      </w:r>
      <w:r w:rsidR="00B30925" w:rsidRPr="00FD096B">
        <w:rPr>
          <w:rFonts w:ascii="Palatino Linotype" w:eastAsia="Arial Unicode MS" w:hAnsi="Palatino Linotype" w:cs="Tahoma"/>
        </w:rPr>
        <w:t xml:space="preserve">a </w:t>
      </w:r>
      <w:r w:rsidR="00B30925" w:rsidRPr="00FD096B">
        <w:rPr>
          <w:rFonts w:ascii="Palatino Linotype" w:eastAsia="Arial Unicode MS" w:hAnsi="Palatino Linotype" w:cs="Tahoma"/>
        </w:rPr>
        <w:lastRenderedPageBreak/>
        <w:t>en</w:t>
      </w:r>
      <w:r w:rsidRPr="00FD096B">
        <w:rPr>
          <w:rFonts w:ascii="Palatino Linotype" w:eastAsia="Arial Unicode MS" w:hAnsi="Palatino Linotype" w:cs="Tahoma"/>
        </w:rPr>
        <w:t xml:space="preserve"> los </w:t>
      </w:r>
      <w:r w:rsidR="004B674B" w:rsidRPr="00FD096B">
        <w:rPr>
          <w:rFonts w:ascii="Palatino Linotype" w:eastAsia="Arial Unicode MS" w:hAnsi="Palatino Linotype" w:cs="Tahoma"/>
        </w:rPr>
        <w:t>documentos fiscales</w:t>
      </w:r>
      <w:r w:rsidR="002C7EBD" w:rsidRPr="00FD096B">
        <w:rPr>
          <w:rFonts w:ascii="Palatino Linotype" w:eastAsia="Arial Unicode MS" w:hAnsi="Palatino Linotype" w:cs="Tahoma"/>
        </w:rPr>
        <w:t>,</w:t>
      </w:r>
      <w:r w:rsidRPr="00FD096B">
        <w:rPr>
          <w:rFonts w:ascii="Palatino Linotype" w:eastAsia="Arial Unicode MS" w:hAnsi="Palatino Linotype" w:cs="Tahoma"/>
        </w:rPr>
        <w:t xml:space="preserve"> constituyen un elemento adicional que permite </w:t>
      </w:r>
      <w:r w:rsidR="00B30925" w:rsidRPr="00FD096B">
        <w:rPr>
          <w:rFonts w:ascii="Palatino Linotype" w:eastAsia="Arial Unicode MS" w:hAnsi="Palatino Linotype" w:cs="Tahoma"/>
        </w:rPr>
        <w:t xml:space="preserve">a cualquier persona </w:t>
      </w:r>
      <w:r w:rsidRPr="00FD096B">
        <w:rPr>
          <w:rFonts w:ascii="Palatino Linotype" w:eastAsia="Arial Unicode MS" w:hAnsi="Palatino Linotype" w:cs="Tahoma"/>
        </w:rPr>
        <w:t xml:space="preserve">verificar la legitimidad del documento </w:t>
      </w:r>
      <w:r w:rsidR="00B30925" w:rsidRPr="00FD096B">
        <w:rPr>
          <w:rFonts w:ascii="Palatino Linotype" w:eastAsia="Arial Unicode MS" w:hAnsi="Palatino Linotype" w:cs="Tahoma"/>
        </w:rPr>
        <w:t xml:space="preserve">entregado </w:t>
      </w:r>
      <w:r w:rsidR="002C7EBD" w:rsidRPr="00FD096B">
        <w:rPr>
          <w:rFonts w:ascii="Palatino Linotype" w:eastAsia="Arial Unicode MS" w:hAnsi="Palatino Linotype" w:cs="Tahoma"/>
        </w:rPr>
        <w:t xml:space="preserve">en una solicitud de acceso a la información </w:t>
      </w:r>
      <w:r w:rsidRPr="00FD096B">
        <w:rPr>
          <w:rFonts w:ascii="Palatino Linotype" w:eastAsia="Arial Unicode MS" w:hAnsi="Palatino Linotype" w:cs="Tahoma"/>
        </w:rPr>
        <w:t>y, por sí solos no contienen datos personales susceptibles de clasificación</w:t>
      </w:r>
      <w:r w:rsidR="00B30925" w:rsidRPr="00FD096B">
        <w:rPr>
          <w:rFonts w:ascii="Palatino Linotype" w:eastAsia="Arial Unicode MS" w:hAnsi="Palatino Linotype" w:cs="Tahoma"/>
        </w:rPr>
        <w:t>, ya que no hacen identificado o identificable a su titular</w:t>
      </w:r>
      <w:r w:rsidR="002C7EBD" w:rsidRPr="00FD096B">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FD096B">
        <w:rPr>
          <w:rFonts w:ascii="Palatino Linotype" w:eastAsia="Arial Unicode MS" w:hAnsi="Palatino Linotype" w:cs="Tahoma"/>
        </w:rPr>
        <w:t>,</w:t>
      </w:r>
      <w:r w:rsidR="002C7EBD" w:rsidRPr="00FD096B">
        <w:rPr>
          <w:rFonts w:ascii="Palatino Linotype" w:eastAsia="Arial Unicode MS" w:hAnsi="Palatino Linotype" w:cs="Tahoma"/>
        </w:rPr>
        <w:t xml:space="preserve"> está encriptada como se verá a continuación.</w:t>
      </w:r>
    </w:p>
    <w:p w:rsidR="000117EA" w:rsidRPr="00FD096B" w:rsidRDefault="000117EA" w:rsidP="000D5587">
      <w:pPr>
        <w:spacing w:after="0" w:line="360" w:lineRule="auto"/>
        <w:jc w:val="both"/>
        <w:rPr>
          <w:rFonts w:ascii="Palatino Linotype" w:eastAsia="Arial Unicode MS" w:hAnsi="Palatino Linotype" w:cs="Tahoma"/>
        </w:rPr>
      </w:pPr>
    </w:p>
    <w:p w:rsidR="004E40F0" w:rsidRPr="00FD096B" w:rsidRDefault="00B73847" w:rsidP="000D5587">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Las cadenas originales y sellos que se agregan a recibos de nómina e incluso a facturas, tiene</w:t>
      </w:r>
      <w:r w:rsidR="004E40F0" w:rsidRPr="00FD096B">
        <w:rPr>
          <w:rFonts w:ascii="Palatino Linotype" w:eastAsia="Arial Unicode MS" w:hAnsi="Palatino Linotype" w:cs="Tahoma"/>
        </w:rPr>
        <w:t>n</w:t>
      </w:r>
      <w:r w:rsidRPr="00FD096B">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FD096B">
        <w:rPr>
          <w:rFonts w:ascii="Palatino Linotype" w:eastAsia="Arial Unicode MS" w:hAnsi="Palatino Linotype" w:cs="Tahoma"/>
        </w:rPr>
        <w:t xml:space="preserve"> dos mil </w:t>
      </w:r>
      <w:r w:rsidRPr="00FD096B">
        <w:rPr>
          <w:rFonts w:ascii="Palatino Linotype" w:eastAsia="Arial Unicode MS" w:hAnsi="Palatino Linotype" w:cs="Tahoma"/>
        </w:rPr>
        <w:t xml:space="preserve"> diecisiete, publicada en el Diario Oficial de la Federación el dieciocho de julio de dos mil diecisiete</w:t>
      </w:r>
      <w:r w:rsidR="00390188" w:rsidRPr="00FD096B">
        <w:rPr>
          <w:rFonts w:ascii="Palatino Linotype" w:eastAsia="Arial Unicode MS" w:hAnsi="Palatino Linotype" w:cs="Tahoma"/>
        </w:rPr>
        <w:t>, disponible en la dirección electrónica</w:t>
      </w:r>
      <w:r w:rsidR="004E40F0" w:rsidRPr="00FD096B">
        <w:rPr>
          <w:rFonts w:ascii="Palatino Linotype" w:eastAsia="Arial Unicode MS" w:hAnsi="Palatino Linotype" w:cs="Tahoma"/>
        </w:rPr>
        <w:t xml:space="preserve"> siguiente</w:t>
      </w:r>
      <w:r w:rsidR="00B44777" w:rsidRPr="00FD096B">
        <w:rPr>
          <w:rFonts w:ascii="Palatino Linotype" w:eastAsia="Arial Unicode MS" w:hAnsi="Palatino Linotype" w:cs="Tahoma"/>
        </w:rPr>
        <w:t xml:space="preserve">: </w:t>
      </w:r>
    </w:p>
    <w:p w:rsidR="00B30925" w:rsidRPr="00FD096B" w:rsidRDefault="00993790" w:rsidP="000D5587">
      <w:pPr>
        <w:spacing w:after="0" w:line="360" w:lineRule="auto"/>
        <w:jc w:val="both"/>
        <w:rPr>
          <w:rFonts w:ascii="Palatino Linotype" w:eastAsia="Arial Unicode MS" w:hAnsi="Palatino Linotype" w:cs="Tahoma"/>
        </w:rPr>
      </w:pPr>
      <w:r w:rsidRPr="00FD096B">
        <w:rPr>
          <w:rStyle w:val="Hipervnculo"/>
          <w:rFonts w:ascii="Palatino Linotype" w:eastAsia="Arial Unicode MS" w:hAnsi="Palatino Linotype" w:cs="Tahoma"/>
        </w:rPr>
        <w:t>http://dof.gob.mx/nota_detalle.php?codigo=5492254&amp;fecha=28/07/2017.</w:t>
      </w:r>
    </w:p>
    <w:p w:rsidR="00B30925" w:rsidRPr="00FD096B" w:rsidRDefault="00B30925" w:rsidP="000D5587">
      <w:pPr>
        <w:spacing w:after="0" w:line="360" w:lineRule="auto"/>
        <w:jc w:val="both"/>
        <w:rPr>
          <w:rFonts w:ascii="Palatino Linotype" w:eastAsia="Arial Unicode MS" w:hAnsi="Palatino Linotype" w:cs="Tahoma"/>
        </w:rPr>
      </w:pPr>
    </w:p>
    <w:p w:rsidR="00B30925" w:rsidRPr="00FD096B" w:rsidRDefault="00B30925" w:rsidP="000D5587">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En </w:t>
      </w:r>
      <w:r w:rsidR="00D55306" w:rsidRPr="00FD096B">
        <w:rPr>
          <w:rFonts w:ascii="Palatino Linotype" w:eastAsia="Arial Unicode MS" w:hAnsi="Palatino Linotype" w:cs="Tahoma"/>
        </w:rPr>
        <w:t>ella</w:t>
      </w:r>
      <w:r w:rsidRPr="00FD096B">
        <w:rPr>
          <w:rFonts w:ascii="Palatino Linotype" w:eastAsia="Arial Unicode MS" w:hAnsi="Palatino Linotype" w:cs="Tahoma"/>
        </w:rPr>
        <w:t xml:space="preserve">, se precisan los datos de los que se componen los elementos de seguridad y </w:t>
      </w:r>
      <w:r w:rsidR="00A96CE5" w:rsidRPr="00FD096B">
        <w:rPr>
          <w:rFonts w:ascii="Palatino Linotype" w:eastAsia="Arial Unicode MS" w:hAnsi="Palatino Linotype" w:cs="Tahoma"/>
        </w:rPr>
        <w:t>se puntualiza que</w:t>
      </w:r>
      <w:r w:rsidRPr="00FD096B">
        <w:rPr>
          <w:rFonts w:ascii="Palatino Linotype" w:eastAsia="Arial Unicode MS" w:hAnsi="Palatino Linotype" w:cs="Tahoma"/>
        </w:rPr>
        <w:t xml:space="preserve"> dicha información está encriptada.</w:t>
      </w:r>
    </w:p>
    <w:p w:rsidR="00B30925" w:rsidRPr="00FD096B" w:rsidRDefault="00B30925" w:rsidP="000D5587">
      <w:pPr>
        <w:spacing w:after="0" w:line="360" w:lineRule="auto"/>
        <w:jc w:val="both"/>
        <w:rPr>
          <w:rFonts w:ascii="Palatino Linotype" w:eastAsia="Arial Unicode MS" w:hAnsi="Palatino Linotype" w:cs="Tahoma"/>
          <w:sz w:val="24"/>
          <w:szCs w:val="24"/>
        </w:rPr>
      </w:pPr>
    </w:p>
    <w:p w:rsidR="00B30925" w:rsidRPr="00FD096B" w:rsidRDefault="00B30925" w:rsidP="000D5587">
      <w:pPr>
        <w:spacing w:after="0" w:line="360" w:lineRule="auto"/>
        <w:ind w:left="567" w:right="567"/>
        <w:jc w:val="both"/>
        <w:rPr>
          <w:rFonts w:ascii="Palatino Linotype" w:hAnsi="Palatino Linotype" w:cs="Arial"/>
          <w:sz w:val="20"/>
          <w:szCs w:val="20"/>
        </w:rPr>
      </w:pPr>
      <w:r w:rsidRPr="00FD096B">
        <w:rPr>
          <w:rFonts w:ascii="Palatino Linotype" w:hAnsi="Palatino Linotype" w:cs="Arial"/>
          <w:sz w:val="20"/>
          <w:szCs w:val="20"/>
        </w:rPr>
        <w:t>Elementos utilizados en la generación de Sellos Digitales:</w:t>
      </w:r>
    </w:p>
    <w:p w:rsidR="00B30925" w:rsidRPr="00FD096B" w:rsidRDefault="00B30925" w:rsidP="009A6775">
      <w:pPr>
        <w:spacing w:after="0" w:line="360" w:lineRule="auto"/>
        <w:ind w:left="851" w:right="567" w:hanging="284"/>
        <w:jc w:val="both"/>
        <w:rPr>
          <w:rFonts w:ascii="Palatino Linotype" w:hAnsi="Palatino Linotype" w:cs="Arial"/>
          <w:sz w:val="20"/>
          <w:szCs w:val="20"/>
        </w:rPr>
      </w:pPr>
      <w:r w:rsidRPr="00FD096B">
        <w:rPr>
          <w:rFonts w:ascii="Palatino Linotype" w:hAnsi="Palatino Linotype" w:cs="Arial"/>
          <w:sz w:val="20"/>
          <w:szCs w:val="20"/>
        </w:rPr>
        <w:sym w:font="Symbol" w:char="F0B7"/>
      </w:r>
      <w:r w:rsidRPr="00FD096B">
        <w:rPr>
          <w:rFonts w:ascii="Palatino Linotype" w:hAnsi="Palatino Linotype" w:cs="Arial"/>
          <w:sz w:val="20"/>
          <w:szCs w:val="20"/>
        </w:rPr>
        <w:tab/>
        <w:t>Cadena Original, el elemento a sellar, en este caso de un comprobante fiscal digital a través de Internet.</w:t>
      </w:r>
    </w:p>
    <w:p w:rsidR="00B30925" w:rsidRPr="00FD096B" w:rsidRDefault="00B30925" w:rsidP="009A6775">
      <w:pPr>
        <w:spacing w:after="0" w:line="360" w:lineRule="auto"/>
        <w:ind w:left="851" w:right="567" w:hanging="284"/>
        <w:jc w:val="both"/>
        <w:rPr>
          <w:rFonts w:ascii="Palatino Linotype" w:hAnsi="Palatino Linotype" w:cs="Arial"/>
          <w:sz w:val="20"/>
          <w:szCs w:val="20"/>
        </w:rPr>
      </w:pPr>
      <w:r w:rsidRPr="00FD096B">
        <w:rPr>
          <w:rFonts w:ascii="Palatino Linotype" w:hAnsi="Palatino Linotype" w:cs="Arial"/>
          <w:sz w:val="20"/>
          <w:szCs w:val="20"/>
        </w:rPr>
        <w:sym w:font="Symbol" w:char="F0B7"/>
      </w:r>
      <w:r w:rsidRPr="00FD096B">
        <w:rPr>
          <w:rFonts w:ascii="Palatino Linotype" w:hAnsi="Palatino Linotype" w:cs="Arial"/>
          <w:sz w:val="20"/>
          <w:szCs w:val="20"/>
        </w:rPr>
        <w:tab/>
        <w:t>Certificado de Sello Digital y su correspondiente clave privada.</w:t>
      </w:r>
    </w:p>
    <w:p w:rsidR="00B30925" w:rsidRPr="00FD096B" w:rsidRDefault="00B30925" w:rsidP="009A6775">
      <w:pPr>
        <w:spacing w:after="0" w:line="360" w:lineRule="auto"/>
        <w:ind w:left="851" w:right="567" w:hanging="284"/>
        <w:jc w:val="both"/>
        <w:rPr>
          <w:rFonts w:ascii="Palatino Linotype" w:hAnsi="Palatino Linotype" w:cs="Arial"/>
          <w:sz w:val="20"/>
          <w:szCs w:val="20"/>
        </w:rPr>
      </w:pPr>
      <w:r w:rsidRPr="00FD096B">
        <w:rPr>
          <w:rFonts w:ascii="Palatino Linotype" w:hAnsi="Palatino Linotype" w:cs="Arial"/>
          <w:sz w:val="20"/>
          <w:szCs w:val="20"/>
        </w:rPr>
        <w:sym w:font="Symbol" w:char="F0B7"/>
      </w:r>
      <w:r w:rsidRPr="00FD096B">
        <w:rPr>
          <w:rFonts w:ascii="Palatino Linotype" w:hAnsi="Palatino Linotype" w:cs="Arial"/>
          <w:sz w:val="20"/>
          <w:szCs w:val="20"/>
        </w:rPr>
        <w:tab/>
        <w:t>Algoritmos de criptografía de clave pública para firma electrónica avanzada.</w:t>
      </w:r>
    </w:p>
    <w:p w:rsidR="00B30925" w:rsidRPr="00FD096B" w:rsidRDefault="00B30925" w:rsidP="009A6775">
      <w:pPr>
        <w:spacing w:after="0" w:line="360" w:lineRule="auto"/>
        <w:ind w:left="851" w:right="567" w:hanging="284"/>
        <w:jc w:val="both"/>
        <w:rPr>
          <w:rFonts w:ascii="Palatino Linotype" w:hAnsi="Palatino Linotype" w:cs="Arial"/>
          <w:sz w:val="20"/>
          <w:szCs w:val="20"/>
        </w:rPr>
      </w:pPr>
      <w:r w:rsidRPr="00FD096B">
        <w:rPr>
          <w:rFonts w:ascii="Palatino Linotype" w:hAnsi="Palatino Linotype" w:cs="Arial"/>
          <w:sz w:val="20"/>
          <w:szCs w:val="20"/>
        </w:rPr>
        <w:sym w:font="Symbol" w:char="F0B7"/>
      </w:r>
      <w:r w:rsidRPr="00FD096B">
        <w:rPr>
          <w:rFonts w:ascii="Palatino Linotype" w:hAnsi="Palatino Linotype" w:cs="Arial"/>
          <w:sz w:val="20"/>
          <w:szCs w:val="20"/>
        </w:rPr>
        <w:tab/>
        <w:t>Especificaciones de conversión de la firma electrónica avanzada a Base 64.</w:t>
      </w:r>
    </w:p>
    <w:p w:rsidR="00B30925" w:rsidRPr="00FD096B" w:rsidRDefault="00B30925" w:rsidP="000D5587">
      <w:pPr>
        <w:spacing w:after="0" w:line="360" w:lineRule="auto"/>
        <w:ind w:left="567" w:right="567"/>
        <w:jc w:val="both"/>
        <w:rPr>
          <w:rFonts w:ascii="Palatino Linotype" w:hAnsi="Palatino Linotype" w:cs="Arial"/>
          <w:sz w:val="20"/>
          <w:szCs w:val="20"/>
        </w:rPr>
      </w:pPr>
      <w:r w:rsidRPr="00FD096B">
        <w:rPr>
          <w:rFonts w:ascii="Palatino Linotype" w:hAnsi="Palatino Linotype" w:cs="Arial"/>
          <w:sz w:val="20"/>
          <w:szCs w:val="20"/>
        </w:rPr>
        <w:t>Para la generación de sellos digitales se utiliza criptografía de clave pública aplicada a una cadena original.</w:t>
      </w:r>
    </w:p>
    <w:p w:rsidR="00B30925" w:rsidRPr="00FD096B" w:rsidRDefault="00B30925" w:rsidP="000D5587">
      <w:pPr>
        <w:spacing w:after="0" w:line="360" w:lineRule="auto"/>
        <w:ind w:left="567" w:right="567"/>
        <w:jc w:val="both"/>
        <w:rPr>
          <w:rFonts w:ascii="Palatino Linotype" w:hAnsi="Palatino Linotype" w:cs="Arial"/>
          <w:sz w:val="20"/>
          <w:szCs w:val="20"/>
        </w:rPr>
      </w:pPr>
      <w:r w:rsidRPr="00FD096B">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FD096B">
          <w:rPr>
            <w:rFonts w:ascii="Palatino Linotype" w:hAnsi="Palatino Linotype" w:cs="Arial"/>
            <w:sz w:val="20"/>
            <w:szCs w:val="20"/>
          </w:rPr>
          <w:t>la Clave Pública</w:t>
        </w:r>
      </w:smartTag>
    </w:p>
    <w:p w:rsidR="00B30925" w:rsidRPr="00FD096B" w:rsidRDefault="00B30925" w:rsidP="000D5587">
      <w:pPr>
        <w:spacing w:after="0" w:line="360" w:lineRule="auto"/>
        <w:ind w:left="567" w:right="567"/>
        <w:jc w:val="both"/>
        <w:rPr>
          <w:rFonts w:ascii="Palatino Linotype" w:hAnsi="Palatino Linotype" w:cs="Arial"/>
          <w:sz w:val="20"/>
          <w:szCs w:val="20"/>
        </w:rPr>
      </w:pPr>
      <w:r w:rsidRPr="00FD096B">
        <w:rPr>
          <w:rFonts w:ascii="Palatino Linotype" w:hAnsi="Palatino Linotype" w:cs="Arial"/>
          <w:sz w:val="20"/>
          <w:szCs w:val="20"/>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73847" w:rsidRPr="00FD096B" w:rsidRDefault="00B73847" w:rsidP="000D5587">
      <w:pPr>
        <w:spacing w:after="0" w:line="360" w:lineRule="auto"/>
        <w:jc w:val="both"/>
        <w:rPr>
          <w:rFonts w:ascii="Palatino Linotype" w:eastAsia="Arial Unicode MS" w:hAnsi="Palatino Linotype" w:cs="Tahoma"/>
          <w:sz w:val="24"/>
          <w:szCs w:val="24"/>
        </w:rPr>
      </w:pPr>
    </w:p>
    <w:p w:rsidR="00A96CE5" w:rsidRPr="00FD096B" w:rsidRDefault="00884A10" w:rsidP="000D5587">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Es decir, </w:t>
      </w:r>
      <w:r w:rsidR="00B30925" w:rsidRPr="00FD096B">
        <w:rPr>
          <w:rFonts w:ascii="Palatino Linotype" w:eastAsia="Arial Unicode MS" w:hAnsi="Palatino Linotype" w:cs="Tahoma"/>
        </w:rPr>
        <w:t xml:space="preserve">por sí solos las cadenas originales y los sellos </w:t>
      </w:r>
      <w:r w:rsidR="00A96CE5" w:rsidRPr="00FD096B">
        <w:rPr>
          <w:rFonts w:ascii="Palatino Linotype" w:eastAsia="Arial Unicode MS" w:hAnsi="Palatino Linotype" w:cs="Tahoma"/>
        </w:rPr>
        <w:t xml:space="preserve">originales no contienen datos personales confidenciales, </w:t>
      </w:r>
      <w:r w:rsidR="00D55306" w:rsidRPr="00FD096B">
        <w:rPr>
          <w:rFonts w:ascii="Palatino Linotype" w:eastAsia="Arial Unicode MS" w:hAnsi="Palatino Linotype" w:cs="Tahoma"/>
        </w:rPr>
        <w:t xml:space="preserve">por lo que </w:t>
      </w:r>
      <w:r w:rsidR="00A96CE5" w:rsidRPr="00FD096B">
        <w:rPr>
          <w:rFonts w:ascii="Palatino Linotype" w:eastAsia="Arial Unicode MS" w:hAnsi="Palatino Linotype" w:cs="Tahoma"/>
        </w:rPr>
        <w:t>se considera que no debe instruirse su eliminación de las versiones públicas, ya que no actualizan en supuesto de confidencialidad previsto en el artículo 143, fracción I, de la Ley de Transparencia y Acceso a la Información Pública del Estado de México y Municipios</w:t>
      </w:r>
      <w:r w:rsidR="003973A2" w:rsidRPr="00FD096B">
        <w:rPr>
          <w:rFonts w:ascii="Palatino Linotype" w:eastAsia="Arial Unicode MS" w:hAnsi="Palatino Linotype" w:cs="Tahoma"/>
        </w:rPr>
        <w:t xml:space="preserve"> y</w:t>
      </w:r>
      <w:r w:rsidR="00085241" w:rsidRPr="00FD096B">
        <w:rPr>
          <w:rFonts w:ascii="Palatino Linotype" w:eastAsia="Arial Unicode MS" w:hAnsi="Palatino Linotype" w:cs="Tahoma"/>
        </w:rPr>
        <w:t>,</w:t>
      </w:r>
      <w:r w:rsidR="003973A2" w:rsidRPr="00FD096B">
        <w:rPr>
          <w:rFonts w:ascii="Palatino Linotype" w:eastAsia="Arial Unicode MS" w:hAnsi="Palatino Linotype" w:cs="Tahoma"/>
        </w:rPr>
        <w:t xml:space="preserve"> por el contrario, son información que permite corroborar la legitimidad de los recibos de nómina</w:t>
      </w:r>
      <w:r w:rsidR="00D55306" w:rsidRPr="00FD096B">
        <w:rPr>
          <w:rFonts w:ascii="Palatino Linotype" w:eastAsia="Arial Unicode MS" w:hAnsi="Palatino Linotype" w:cs="Tahoma"/>
        </w:rPr>
        <w:t>, de ser el caso</w:t>
      </w:r>
      <w:r w:rsidR="003973A2" w:rsidRPr="00FD096B">
        <w:rPr>
          <w:rFonts w:ascii="Palatino Linotype" w:eastAsia="Arial Unicode MS" w:hAnsi="Palatino Linotype" w:cs="Tahoma"/>
        </w:rPr>
        <w:t>.</w:t>
      </w:r>
    </w:p>
    <w:p w:rsidR="00266EEE" w:rsidRPr="00FD096B" w:rsidRDefault="00266EEE" w:rsidP="000D5587">
      <w:pPr>
        <w:spacing w:after="0" w:line="360" w:lineRule="auto"/>
        <w:jc w:val="both"/>
        <w:rPr>
          <w:rFonts w:ascii="Palatino Linotype" w:eastAsia="Arial Unicode MS" w:hAnsi="Palatino Linotype" w:cs="Tahoma"/>
        </w:rPr>
      </w:pPr>
    </w:p>
    <w:p w:rsidR="00266EEE" w:rsidRPr="00FD096B" w:rsidRDefault="00266EEE" w:rsidP="00266EEE">
      <w:pPr>
        <w:pStyle w:val="Prrafodelista"/>
        <w:numPr>
          <w:ilvl w:val="0"/>
          <w:numId w:val="19"/>
        </w:numPr>
        <w:spacing w:after="0" w:line="360" w:lineRule="auto"/>
        <w:jc w:val="both"/>
        <w:rPr>
          <w:rFonts w:ascii="Palatino Linotype" w:eastAsia="Arial Unicode MS" w:hAnsi="Palatino Linotype" w:cs="Tahoma"/>
          <w:b/>
        </w:rPr>
      </w:pPr>
      <w:r w:rsidRPr="00FD096B">
        <w:rPr>
          <w:rFonts w:ascii="Palatino Linotype" w:eastAsia="Arial Unicode MS" w:hAnsi="Palatino Linotype" w:cs="Tahoma"/>
          <w:b/>
        </w:rPr>
        <w:t>Credencial para votar con fotografía.</w:t>
      </w:r>
    </w:p>
    <w:p w:rsidR="00F843FA" w:rsidRPr="00FD096B" w:rsidRDefault="00F843FA" w:rsidP="000D5587">
      <w:pPr>
        <w:spacing w:after="0" w:line="360" w:lineRule="auto"/>
        <w:jc w:val="both"/>
        <w:rPr>
          <w:rFonts w:ascii="Palatino Linotype" w:eastAsia="Arial Unicode MS" w:hAnsi="Palatino Linotype" w:cs="Tahoma"/>
        </w:rPr>
      </w:pPr>
    </w:p>
    <w:p w:rsidR="00CD1E05"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Ahora bien, respecto a la clasificación de la copia de la Credencial para Votar</w:t>
      </w:r>
      <w:r w:rsidR="00DB6812" w:rsidRPr="00FD096B">
        <w:rPr>
          <w:rFonts w:ascii="Palatino Linotype" w:eastAsia="Arial Unicode MS" w:hAnsi="Palatino Linotype" w:cs="Tahoma"/>
        </w:rPr>
        <w:t xml:space="preserve"> con F</w:t>
      </w:r>
    </w:p>
    <w:p w:rsidR="00F843FA" w:rsidRPr="00FD096B" w:rsidRDefault="00DB6812"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otografía</w:t>
      </w:r>
      <w:r w:rsidR="00F843FA" w:rsidRPr="00FD096B">
        <w:rPr>
          <w:rFonts w:ascii="Palatino Linotype" w:eastAsia="Arial Unicode MS" w:hAnsi="Palatino Linotype" w:cs="Tahoma"/>
        </w:rPr>
        <w:t xml:space="preserve"> en su totalidad, se debe señalar que la responsabilidad de formar el Padrón Electoral y expedir la referida credencial, corresponde a la Dirección Ejecutiva del Registro Federal de Electores del Instituto Nacional Electoral, de conformidad con lo establecido en el artículo 54, apartado 1, incisos b) y c) de la Ley General de Instituciones y Procedimientos Electorales.</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De manera particular el artículo 156, de la Ley General de Instituciones y Procedimientos Electorales dispone que la credencial para votar deberá contener, cuando menos, los siguientes datos:</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a) 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b) Sección electoral en donde deberá votar el ciudadano. En el caso de los ciudadanos residentes en el extranjero no será necesario incluir este requisito;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c) Apellido paterno, apellido materno y nombre completo;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d) Domicilio;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e) Sexo;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f) Edad y año de registro;</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g) Firma, huella digital y fotografía del elector;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h) Clave de registro, y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i) Clave Única del Registro de Población. </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2. Además tendrá: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a) Espacios necesarios para marcar año y elección de que se trate;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b) Firma impresa del Secretario Ejecutivo del Instituto;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c) Año de emisión;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 xml:space="preserve">d) Año en el que expira su vigencia, y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e) En el caso de la que se expida al ciudadano residente en el extranjero, la leyenda “Para Votar desde el Extranjero”.</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Como se advierte, todos los elementos contenidos en la credencial hacen a su titular, identificado, identificable e incluso ubicable en su domicilio. El número o la clave de la </w:t>
      </w:r>
      <w:r w:rsidRPr="00FD096B">
        <w:rPr>
          <w:rFonts w:ascii="Palatino Linotype" w:eastAsia="Arial Unicode MS" w:hAnsi="Palatino Linotype" w:cs="Tahoma"/>
        </w:rPr>
        <w:lastRenderedPageBreak/>
        <w:t>credencial de elector, son únicos e irrepetibles y; de manera general este documento es utilizado para identificarse al momento de realizar trámites oficiales y de tipo privado, incluso en algunos lugares se tiene por costumbre tomar datos de la credencial para asentar en un documento como manera de acreditar la presentación de su titular y comprobar que la credencial se tuvo a la vista, por ello su relevancia y lo delicado de su uso.</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Dada esta relevancia y que no guarda relación directa con el ejercicio de atribuciones de servidores públicos es que su contenido debe ser analizado en función del documento total, ya que este obra por ser el medio preferible de identificación como ciudadano y no en función del cargo público, por lo que se entiende que se analizan en su conjunto los datos personales contenidos en la misma, con excepción del nombre.</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En la credencial, los datos de Estado, localidad, municipio y sección, refieren al domicilio, respecto del cual ya se analizó que se trata de información confidencial, por lo que es adecuado eliminar estos datos de la versión pública.</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El número y/o clave de la credencial de elector es única e irrepetible por cada persona y como se precisó hace identificable a su titular y, al ser la credencia del elector una identificación reconocida como de carácter oficial en el Entidad, esta información trasciende </w:t>
      </w:r>
      <w:r w:rsidRPr="00FD096B">
        <w:rPr>
          <w:rFonts w:ascii="Palatino Linotype" w:eastAsia="Arial Unicode MS" w:hAnsi="Palatino Linotype" w:cs="Tahoma"/>
        </w:rPr>
        <w:lastRenderedPageBreak/>
        <w:t>a la vida privada de su titular y no guarda relación con el ejercicio de atribuciones de los servidores públicos, por lo que se corrobora que se trata de un dato personal confidencial.</w:t>
      </w:r>
    </w:p>
    <w:p w:rsidR="00CD1E05" w:rsidRPr="00FD096B" w:rsidRDefault="00CD1E05"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Por lo que refiere a la fotografía en este documento, si bien, se han sentado algunos precedentes en los cuales se privilegia el acceso a las fotografías de servidores públicos, es de precisar que el argumento se centra en la atención del principio de finalidad que rige a los datos personales; esto es, aquellas fotografías que corresponden a la imagen de servidores públicos, insertas en documentos que sí tienen relación en el ejercicio de atribuciones o están vinculados con documentos que permiten verificar el cumplimiento de disposiciones normativas, revisten un interés público específico. Ello no quiere decir, que por el hecho de ser servidores públicos, cualquier reproducción de su imagen tenga que ser pública.</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En este orden de ideas, la fotografía en la credencial de elector, no reviste ningún interés público, ya que su finalidad está relacionada con las actividades de la vida cotidiana del servidor público, su entrega para el expediente laboral, tiene que ver con verificar su identidad, pero no con acreditar su idoneidad para el cargo, por tal motivo amerita su eliminación en la versión pública.</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Análisis especial amerita la huella dactilar contenida en la credencial de elector; al respecto, se debe precisar que la huella dactilar es la impresión visible o moldeada que produce el contacto de las crestas papilares de un dedo de la mano sobre una superficie. </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w:t>
      </w:r>
      <w:r w:rsidRPr="00FD096B">
        <w:rPr>
          <w:rFonts w:ascii="Palatino Linotype" w:eastAsia="Arial Unicode MS" w:hAnsi="Palatino Linotype" w:cs="Tahoma"/>
        </w:rPr>
        <w:lastRenderedPageBreak/>
        <w:t xml:space="preserve">colorante. Por su parte, en el documento electrónico intitulado “Nuevas Tecnologías Biométricas”, publicado por el Instituto Nacional de Ciencias Penales y la Procuraduría General de la República, disponible en https://docplayer.es/5455342-Nuevas-tecnologias-biometricas-instituto-nacional-de-ciencias-penales-procuraduria-general-de-la-republica-version-1-0.html, se indica que existen tres principios fundamentales para la identificación de las huellas dactilares, a saber: </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w:t>
      </w:r>
      <w:r w:rsidRPr="00FD096B">
        <w:rPr>
          <w:rFonts w:ascii="Palatino Linotype" w:eastAsia="Arial Unicode MS" w:hAnsi="Palatino Linotype" w:cs="Tahoma"/>
          <w:sz w:val="20"/>
        </w:rPr>
        <w:tab/>
        <w:t xml:space="preserve">Primer principio. La huella es una característica individual. No hay dos huellas con características en las crestas que sean idénticas.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w:t>
      </w:r>
      <w:r w:rsidRPr="00FD096B">
        <w:rPr>
          <w:rFonts w:ascii="Palatino Linotype" w:eastAsia="Arial Unicode MS" w:hAnsi="Palatino Linotype" w:cs="Tahoma"/>
          <w:sz w:val="20"/>
        </w:rPr>
        <w:tab/>
        <w:t xml:space="preserve">Segundo principio. Una huella permanece sin cambios durante toda la vida de un individuo (sin embargo, puede adquirir cicatrices o cualquier otra deformación que impida su identificación clara). </w:t>
      </w:r>
    </w:p>
    <w:p w:rsidR="00F843FA" w:rsidRPr="00FD096B" w:rsidRDefault="00F843FA" w:rsidP="00F843FA">
      <w:pPr>
        <w:spacing w:after="0" w:line="360" w:lineRule="auto"/>
        <w:ind w:left="567" w:right="567"/>
        <w:jc w:val="both"/>
        <w:rPr>
          <w:rFonts w:ascii="Palatino Linotype" w:eastAsia="Arial Unicode MS" w:hAnsi="Palatino Linotype" w:cs="Tahoma"/>
          <w:sz w:val="20"/>
        </w:rPr>
      </w:pPr>
    </w:p>
    <w:p w:rsidR="00F843FA" w:rsidRPr="00FD096B" w:rsidRDefault="00F843FA" w:rsidP="00F843FA">
      <w:pPr>
        <w:spacing w:after="0" w:line="360" w:lineRule="auto"/>
        <w:ind w:left="567" w:right="567"/>
        <w:jc w:val="both"/>
        <w:rPr>
          <w:rFonts w:ascii="Palatino Linotype" w:eastAsia="Arial Unicode MS" w:hAnsi="Palatino Linotype" w:cs="Tahoma"/>
          <w:sz w:val="20"/>
        </w:rPr>
      </w:pPr>
      <w:r w:rsidRPr="00FD096B">
        <w:rPr>
          <w:rFonts w:ascii="Palatino Linotype" w:eastAsia="Arial Unicode MS" w:hAnsi="Palatino Linotype" w:cs="Tahoma"/>
          <w:sz w:val="20"/>
        </w:rPr>
        <w:t>•</w:t>
      </w:r>
      <w:r w:rsidRPr="00FD096B">
        <w:rPr>
          <w:rFonts w:ascii="Palatino Linotype" w:eastAsia="Arial Unicode MS" w:hAnsi="Palatino Linotype" w:cs="Tahoma"/>
          <w:sz w:val="20"/>
        </w:rPr>
        <w:tab/>
        <w:t xml:space="preserve">Tercer principio. Las huellas tienen patrones que se forman con sus crestas, lo que hace posible clasificarlas sistemáticamente para agilizar las búsquedas. </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w:t>
      </w:r>
      <w:r w:rsidRPr="00FD096B">
        <w:rPr>
          <w:rFonts w:ascii="Palatino Linotype" w:eastAsia="Arial Unicode MS" w:hAnsi="Palatino Linotype" w:cs="Tahoma"/>
        </w:rPr>
        <w:lastRenderedPageBreak/>
        <w:t>DACTILAR. ES APTA PARA ACREDITAR EL CONSENTIMIENTO EN LA CELEBRACIÓN DE UN CONTRATO.</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line="360" w:lineRule="auto"/>
        <w:ind w:left="567" w:right="567"/>
        <w:jc w:val="both"/>
        <w:rPr>
          <w:rFonts w:ascii="Palatino Linotype" w:hAnsi="Palatino Linotype" w:cs="Tahoma"/>
          <w:sz w:val="20"/>
          <w:szCs w:val="20"/>
          <w:lang w:val="es-MX"/>
        </w:rPr>
      </w:pPr>
      <w:r w:rsidRPr="00FD096B">
        <w:rPr>
          <w:rFonts w:ascii="Palatino Linotype" w:hAnsi="Palatino Linotype" w:cs="Tahoma"/>
          <w:b/>
          <w:sz w:val="20"/>
          <w:szCs w:val="20"/>
          <w:lang w:val="es-MX"/>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FD096B">
        <w:rPr>
          <w:rFonts w:ascii="Palatino Linotype" w:hAnsi="Palatino Linotype" w:cs="Tahoma"/>
          <w:sz w:val="20"/>
          <w:szCs w:val="20"/>
          <w:lang w:val="es-MX"/>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w:t>
      </w:r>
      <w:r w:rsidRPr="00FD096B">
        <w:rPr>
          <w:rFonts w:ascii="Palatino Linotype" w:hAnsi="Palatino Linotype" w:cs="Tahoma"/>
          <w:sz w:val="20"/>
          <w:szCs w:val="20"/>
          <w:lang w:val="es-MX"/>
        </w:rPr>
        <w:lastRenderedPageBreak/>
        <w:t>correspondientes, más aún cuando el autor no negó expresamente haber estampado sus huellas en el contrato.</w:t>
      </w:r>
    </w:p>
    <w:p w:rsidR="00F843FA" w:rsidRPr="00FD096B" w:rsidRDefault="00F843FA" w:rsidP="00F843FA">
      <w:pPr>
        <w:spacing w:line="360" w:lineRule="auto"/>
        <w:ind w:left="567" w:right="567"/>
        <w:jc w:val="both"/>
        <w:rPr>
          <w:rFonts w:ascii="Palatino Linotype" w:hAnsi="Palatino Linotype" w:cs="Tahoma"/>
          <w:sz w:val="20"/>
          <w:szCs w:val="20"/>
          <w:lang w:val="es-MX"/>
        </w:rPr>
      </w:pPr>
      <w:r w:rsidRPr="00FD096B">
        <w:rPr>
          <w:rFonts w:ascii="Palatino Linotype" w:hAnsi="Palatino Linotype" w:cs="Tahoma"/>
          <w:b/>
          <w:sz w:val="20"/>
          <w:szCs w:val="20"/>
          <w:lang w:val="es-MX"/>
        </w:rPr>
        <w:t>(Énfasis añadido).</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En la actualidad existen sistemas denominados AFIS por sus siglas en inglés Automated Fingerprint Identification System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Por último, la vigencia de la credencial de elector, debe considerarse información pública, pues este elemento es que le da validez como medio de identificación, por lo que no procede su eliminación de la versión pública.</w:t>
      </w:r>
    </w:p>
    <w:p w:rsidR="00F843FA" w:rsidRPr="00FD096B" w:rsidRDefault="00F843FA" w:rsidP="00F843FA">
      <w:pPr>
        <w:spacing w:after="0" w:line="360" w:lineRule="auto"/>
        <w:jc w:val="both"/>
        <w:rPr>
          <w:rFonts w:ascii="Palatino Linotype" w:eastAsia="Arial Unicode MS" w:hAnsi="Palatino Linotype" w:cs="Tahoma"/>
        </w:rPr>
      </w:pPr>
    </w:p>
    <w:p w:rsidR="00F843FA" w:rsidRPr="00FD096B" w:rsidRDefault="00F843FA" w:rsidP="00F843FA">
      <w:pPr>
        <w:spacing w:after="0" w:line="360" w:lineRule="auto"/>
        <w:jc w:val="both"/>
        <w:rPr>
          <w:rFonts w:ascii="Palatino Linotype" w:eastAsia="Arial Unicode MS" w:hAnsi="Palatino Linotype" w:cs="Tahoma"/>
        </w:rPr>
      </w:pPr>
      <w:r w:rsidRPr="00FD096B">
        <w:rPr>
          <w:rFonts w:ascii="Palatino Linotype" w:eastAsia="Arial Unicode MS" w:hAnsi="Palatino Linotype" w:cs="Tahoma"/>
        </w:rPr>
        <w:t>Por lo expuesto, se considera que la copia de la credencial para votar es susceptible de entregarse en versión pública, dejando a la vista el nombre, la vigencia y la denominación de la institución emisora, Instituto Nacional Electoral, ello con la finalidad de dar certeza de que, efectivamente, el servidor público cuenta con dicho medio de identificación.</w:t>
      </w:r>
    </w:p>
    <w:p w:rsidR="00F843FA" w:rsidRPr="00FD096B" w:rsidRDefault="00F843FA" w:rsidP="00F843FA">
      <w:pPr>
        <w:spacing w:after="0" w:line="360" w:lineRule="auto"/>
        <w:jc w:val="both"/>
        <w:rPr>
          <w:rFonts w:ascii="Palatino Linotype" w:eastAsia="Arial Unicode MS" w:hAnsi="Palatino Linotype" w:cs="Tahoma"/>
        </w:rPr>
      </w:pPr>
    </w:p>
    <w:p w:rsidR="009A6775" w:rsidRPr="00FD096B" w:rsidRDefault="009A6775" w:rsidP="0018326C">
      <w:pPr>
        <w:autoSpaceDE w:val="0"/>
        <w:autoSpaceDN w:val="0"/>
        <w:adjustRightInd w:val="0"/>
        <w:spacing w:after="0" w:line="360" w:lineRule="auto"/>
        <w:ind w:right="49"/>
        <w:jc w:val="both"/>
        <w:rPr>
          <w:rFonts w:ascii="Palatino Linotype" w:eastAsia="Arial Unicode MS" w:hAnsi="Palatino Linotype" w:cs="Tahoma"/>
        </w:rPr>
      </w:pPr>
      <w:r w:rsidRPr="00FD096B">
        <w:rPr>
          <w:rFonts w:ascii="Palatino Linotype" w:hAnsi="Palatino Linotype" w:cs="Arial"/>
        </w:rPr>
        <w:t xml:space="preserve">Por </w:t>
      </w:r>
      <w:r w:rsidR="0018326C" w:rsidRPr="00FD096B">
        <w:rPr>
          <w:rFonts w:ascii="Palatino Linotype" w:hAnsi="Palatino Linotype" w:cs="Arial"/>
        </w:rPr>
        <w:t>los argumentos y consideraciones vertidas</w:t>
      </w:r>
      <w:r w:rsidRPr="00FD096B">
        <w:rPr>
          <w:rFonts w:ascii="Palatino Linotype" w:hAnsi="Palatino Linotype" w:cs="Arial"/>
        </w:rPr>
        <w:t xml:space="preserve">, el que suscribe emite </w:t>
      </w:r>
      <w:r w:rsidRPr="00FD096B">
        <w:rPr>
          <w:rFonts w:ascii="Palatino Linotype" w:hAnsi="Palatino Linotype" w:cs="Arial"/>
          <w:b/>
        </w:rPr>
        <w:t xml:space="preserve">VOTO PARTICULAR </w:t>
      </w:r>
      <w:r w:rsidRPr="00FD096B">
        <w:rPr>
          <w:rFonts w:ascii="Palatino Linotype" w:hAnsi="Palatino Linotype" w:cs="Arial"/>
        </w:rPr>
        <w:t>con independencia de que se comparta el fallo, tanto en</w:t>
      </w:r>
      <w:r w:rsidR="0018326C" w:rsidRPr="00FD096B">
        <w:rPr>
          <w:rFonts w:ascii="Palatino Linotype" w:hAnsi="Palatino Linotype" w:cs="Arial"/>
        </w:rPr>
        <w:t xml:space="preserve"> lo general como en su sentido.</w:t>
      </w:r>
    </w:p>
    <w:p w:rsidR="009A6775" w:rsidRPr="00FD096B" w:rsidRDefault="009A6775" w:rsidP="000D5587">
      <w:pPr>
        <w:spacing w:after="0" w:line="360" w:lineRule="auto"/>
        <w:jc w:val="both"/>
        <w:rPr>
          <w:rFonts w:ascii="Palatino Linotype" w:eastAsia="Arial Unicode MS" w:hAnsi="Palatino Linotype" w:cs="Tahoma"/>
        </w:rPr>
      </w:pPr>
    </w:p>
    <w:p w:rsidR="009E0861" w:rsidRPr="00FD096B" w:rsidRDefault="009E0861" w:rsidP="000D5587">
      <w:pPr>
        <w:spacing w:after="0" w:line="360" w:lineRule="auto"/>
        <w:jc w:val="both"/>
        <w:rPr>
          <w:rFonts w:ascii="Palatino Linotype" w:hAnsi="Palatino Linotype" w:cs="Tahoma"/>
        </w:rPr>
      </w:pPr>
      <w:r w:rsidRPr="00FD096B">
        <w:rPr>
          <w:rFonts w:ascii="Palatino Linotype" w:hAnsi="Palatino Linotype" w:cs="Tahoma"/>
        </w:rPr>
        <w:t xml:space="preserve">Así, con base en los razonamientos expuestos, </w:t>
      </w:r>
      <w:r w:rsidRPr="00FD096B">
        <w:rPr>
          <w:rFonts w:ascii="Palatino Linotype" w:hAnsi="Palatino Linotype" w:cs="Tahoma"/>
          <w:b/>
        </w:rPr>
        <w:t>se emite el presente Voto Particular</w:t>
      </w:r>
      <w:r w:rsidRPr="00FD096B">
        <w:rPr>
          <w:rFonts w:ascii="Palatino Linotype" w:hAnsi="Palatino Linotype" w:cs="Tahoma"/>
        </w:rPr>
        <w:t>.</w:t>
      </w:r>
    </w:p>
    <w:p w:rsidR="00553ADE" w:rsidRPr="00FD096B" w:rsidRDefault="00553ADE" w:rsidP="000D5587">
      <w:pPr>
        <w:spacing w:after="0" w:line="360" w:lineRule="auto"/>
        <w:jc w:val="center"/>
        <w:rPr>
          <w:rFonts w:ascii="Palatino Linotype" w:hAnsi="Palatino Linotype" w:cs="Tahoma"/>
        </w:rPr>
      </w:pPr>
    </w:p>
    <w:p w:rsidR="00553ADE" w:rsidRPr="00FD096B" w:rsidRDefault="00A0224B" w:rsidP="000D5587">
      <w:pPr>
        <w:spacing w:after="0" w:line="360" w:lineRule="auto"/>
        <w:jc w:val="center"/>
        <w:rPr>
          <w:rFonts w:ascii="Palatino Linotype" w:hAnsi="Palatino Linotype" w:cs="Tahoma"/>
          <w:b/>
        </w:rPr>
      </w:pPr>
      <w:r w:rsidRPr="00FD096B">
        <w:rPr>
          <w:rFonts w:ascii="Palatino Linotype" w:hAnsi="Palatino Linotype" w:cs="Tahoma"/>
          <w:b/>
        </w:rPr>
        <w:t>(Rúbrica)</w:t>
      </w:r>
    </w:p>
    <w:p w:rsidR="00553ADE" w:rsidRPr="00FD096B" w:rsidRDefault="00553ADE" w:rsidP="000D5587">
      <w:pPr>
        <w:spacing w:after="0" w:line="360" w:lineRule="auto"/>
        <w:jc w:val="center"/>
        <w:rPr>
          <w:rFonts w:ascii="Palatino Linotype" w:hAnsi="Palatino Linotype" w:cs="Tahoma"/>
          <w:b/>
        </w:rPr>
      </w:pPr>
      <w:r w:rsidRPr="00FD096B">
        <w:rPr>
          <w:rFonts w:ascii="Palatino Linotype" w:hAnsi="Palatino Linotype" w:cs="Tahoma"/>
          <w:b/>
        </w:rPr>
        <w:t>Luis Gustavo Parra Noriega</w:t>
      </w:r>
    </w:p>
    <w:p w:rsidR="003512C9" w:rsidRPr="003424F7" w:rsidRDefault="00553ADE" w:rsidP="000D5587">
      <w:pPr>
        <w:spacing w:after="0" w:line="360" w:lineRule="auto"/>
        <w:jc w:val="center"/>
        <w:rPr>
          <w:rFonts w:ascii="Palatino Linotype" w:hAnsi="Palatino Linotype" w:cs="Tahoma"/>
        </w:rPr>
      </w:pPr>
      <w:r w:rsidRPr="00FD096B">
        <w:rPr>
          <w:rFonts w:ascii="Palatino Linotype" w:hAnsi="Palatino Linotype" w:cs="Tahoma"/>
        </w:rPr>
        <w:t>Comisionado</w:t>
      </w:r>
    </w:p>
    <w:sectPr w:rsidR="003512C9"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A7" w:rsidRDefault="00A270A7" w:rsidP="00EE29F6">
      <w:pPr>
        <w:spacing w:after="0" w:line="240" w:lineRule="auto"/>
      </w:pPr>
      <w:r>
        <w:separator/>
      </w:r>
    </w:p>
  </w:endnote>
  <w:endnote w:type="continuationSeparator" w:id="0">
    <w:p w:rsidR="00A270A7" w:rsidRDefault="00A270A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D096B">
              <w:rPr>
                <w:b/>
                <w:bCs/>
                <w:noProof/>
              </w:rPr>
              <w:t>15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D096B">
              <w:rPr>
                <w:b/>
                <w:bCs/>
                <w:noProof/>
              </w:rPr>
              <w:t>15</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A7" w:rsidRDefault="00A270A7" w:rsidP="00EE29F6">
      <w:pPr>
        <w:spacing w:after="0" w:line="240" w:lineRule="auto"/>
      </w:pPr>
      <w:r>
        <w:separator/>
      </w:r>
    </w:p>
  </w:footnote>
  <w:footnote w:type="continuationSeparator" w:id="0">
    <w:p w:rsidR="00A270A7" w:rsidRDefault="00A270A7"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085241"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592A1B" w:rsidRDefault="00363357" w:rsidP="00CE1BE1">
          <w:pPr>
            <w:pStyle w:val="Encabezado"/>
            <w:ind w:left="-108" w:right="170"/>
            <w:jc w:val="both"/>
            <w:rPr>
              <w:rFonts w:ascii="Palatino Linotype" w:hAnsi="Palatino Linotype"/>
              <w:b/>
              <w:lang w:val="es-ES_tradnl"/>
            </w:rPr>
          </w:pPr>
          <w:r w:rsidRPr="00085241">
            <w:rPr>
              <w:rFonts w:ascii="Palatino Linotype" w:hAnsi="Palatino Linotype" w:cs="Tahoma"/>
              <w:b/>
            </w:rPr>
            <w:t xml:space="preserve">Recurso de Revisión: </w:t>
          </w:r>
          <w:r w:rsidR="00D135EF">
            <w:rPr>
              <w:rFonts w:ascii="Palatino Linotype" w:hAnsi="Palatino Linotype"/>
              <w:b/>
              <w:lang w:val="es-ES_tradnl"/>
            </w:rPr>
            <w:t>03920</w:t>
          </w:r>
          <w:r w:rsidR="00592A1B" w:rsidRPr="003C2AB4">
            <w:rPr>
              <w:rFonts w:ascii="Palatino Linotype" w:hAnsi="Palatino Linotype"/>
              <w:b/>
              <w:lang w:val="es-ES_tradnl"/>
            </w:rPr>
            <w:t>/INFOEM/IP/RR/2018</w:t>
          </w:r>
          <w:r w:rsidR="00D135EF">
            <w:rPr>
              <w:rFonts w:ascii="Palatino Linotype" w:hAnsi="Palatino Linotype"/>
              <w:b/>
              <w:lang w:val="es-ES_tradnl"/>
            </w:rPr>
            <w:t xml:space="preserve"> y 03921</w:t>
          </w:r>
          <w:r w:rsidR="001A3973" w:rsidRPr="003C2AB4">
            <w:rPr>
              <w:rFonts w:ascii="Palatino Linotype" w:hAnsi="Palatino Linotype"/>
              <w:b/>
              <w:lang w:val="es-ES_tradnl"/>
            </w:rPr>
            <w:t>/INFOEM/IP/RR/2018</w:t>
          </w:r>
          <w:r w:rsidR="001A3973">
            <w:rPr>
              <w:rFonts w:ascii="Palatino Linotype" w:hAnsi="Palatino Linotype"/>
              <w:b/>
              <w:lang w:val="es-ES_tradnl"/>
            </w:rPr>
            <w:t>.</w:t>
          </w:r>
        </w:p>
        <w:p w:rsidR="00CE1BE1" w:rsidRDefault="00CE1BE1" w:rsidP="00CE1BE1">
          <w:pPr>
            <w:pStyle w:val="Encabezado"/>
            <w:ind w:left="-108" w:right="170"/>
            <w:jc w:val="both"/>
            <w:rPr>
              <w:rFonts w:ascii="Palatino Linotype" w:hAnsi="Palatino Linotype"/>
              <w:b/>
              <w:lang w:val="es-MX"/>
            </w:rPr>
          </w:pPr>
          <w:r>
            <w:rPr>
              <w:rFonts w:ascii="Palatino Linotype" w:hAnsi="Palatino Linotype" w:cs="Tahoma"/>
              <w:b/>
            </w:rPr>
            <w:t xml:space="preserve">Sujeto Obligado: </w:t>
          </w:r>
          <w:r w:rsidR="00D135EF">
            <w:rPr>
              <w:rFonts w:ascii="Palatino Linotype" w:hAnsi="Palatino Linotype"/>
              <w:b/>
              <w:lang w:val="es-MX"/>
            </w:rPr>
            <w:t>Ayuntamiento de Huixquilucan</w:t>
          </w:r>
        </w:p>
        <w:p w:rsidR="00363357"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 xml:space="preserve">Comisionada Ponente: </w:t>
          </w:r>
          <w:r w:rsidR="00D135EF">
            <w:rPr>
              <w:rFonts w:ascii="Palatino Linotype" w:hAnsi="Palatino Linotype" w:cs="Tahoma"/>
              <w:b/>
            </w:rPr>
            <w:t>Zulema Martínez Sánchez</w:t>
          </w:r>
        </w:p>
        <w:p w:rsidR="0097366F" w:rsidRPr="001106EA" w:rsidRDefault="0097366F" w:rsidP="00CE1BE1">
          <w:pPr>
            <w:pStyle w:val="Encabezado"/>
            <w:ind w:left="-108" w:right="17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2366CC"/>
    <w:multiLevelType w:val="hybridMultilevel"/>
    <w:tmpl w:val="CFEC1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905055"/>
    <w:multiLevelType w:val="hybridMultilevel"/>
    <w:tmpl w:val="015A1BEA"/>
    <w:lvl w:ilvl="0" w:tplc="B50039E8">
      <w:start w:val="1"/>
      <w:numFmt w:val="lowerLetter"/>
      <w:lvlText w:val="%1."/>
      <w:lvlJc w:val="left"/>
      <w:pPr>
        <w:ind w:left="927" w:hanging="360"/>
      </w:pPr>
      <w:rPr>
        <w:rFonts w:eastAsiaTheme="minorHAnsi" w:cs="Arial"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8C5DAB"/>
    <w:multiLevelType w:val="hybridMultilevel"/>
    <w:tmpl w:val="F9BE78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8"/>
  </w:num>
  <w:num w:numId="8">
    <w:abstractNumId w:val="17"/>
  </w:num>
  <w:num w:numId="9">
    <w:abstractNumId w:val="14"/>
  </w:num>
  <w:num w:numId="10">
    <w:abstractNumId w:val="15"/>
  </w:num>
  <w:num w:numId="11">
    <w:abstractNumId w:val="16"/>
  </w:num>
  <w:num w:numId="12">
    <w:abstractNumId w:val="1"/>
  </w:num>
  <w:num w:numId="13">
    <w:abstractNumId w:val="7"/>
  </w:num>
  <w:num w:numId="14">
    <w:abstractNumId w:val="18"/>
  </w:num>
  <w:num w:numId="15">
    <w:abstractNumId w:val="5"/>
  </w:num>
  <w:num w:numId="16">
    <w:abstractNumId w:val="6"/>
  </w:num>
  <w:num w:numId="17">
    <w:abstractNumId w:val="11"/>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84AC5"/>
    <w:rsid w:val="00085241"/>
    <w:rsid w:val="0008691F"/>
    <w:rsid w:val="00087AC8"/>
    <w:rsid w:val="0009277A"/>
    <w:rsid w:val="00097988"/>
    <w:rsid w:val="00097A79"/>
    <w:rsid w:val="000B235B"/>
    <w:rsid w:val="000B7F6F"/>
    <w:rsid w:val="000C10B7"/>
    <w:rsid w:val="000C6052"/>
    <w:rsid w:val="000C7FD1"/>
    <w:rsid w:val="000D186F"/>
    <w:rsid w:val="000D5587"/>
    <w:rsid w:val="00104333"/>
    <w:rsid w:val="0010688C"/>
    <w:rsid w:val="001106EA"/>
    <w:rsid w:val="001159DC"/>
    <w:rsid w:val="0011653D"/>
    <w:rsid w:val="00116E1A"/>
    <w:rsid w:val="001336CC"/>
    <w:rsid w:val="00136014"/>
    <w:rsid w:val="00136AD8"/>
    <w:rsid w:val="0014038B"/>
    <w:rsid w:val="00140A57"/>
    <w:rsid w:val="0014736A"/>
    <w:rsid w:val="00161815"/>
    <w:rsid w:val="00162325"/>
    <w:rsid w:val="00164625"/>
    <w:rsid w:val="00164BFE"/>
    <w:rsid w:val="0017349A"/>
    <w:rsid w:val="0018326C"/>
    <w:rsid w:val="0018472D"/>
    <w:rsid w:val="00193AA8"/>
    <w:rsid w:val="00197A72"/>
    <w:rsid w:val="001A145C"/>
    <w:rsid w:val="001A3973"/>
    <w:rsid w:val="001A6BD9"/>
    <w:rsid w:val="001C1C64"/>
    <w:rsid w:val="001C363A"/>
    <w:rsid w:val="0020052A"/>
    <w:rsid w:val="00231B68"/>
    <w:rsid w:val="00243A13"/>
    <w:rsid w:val="00246FAF"/>
    <w:rsid w:val="00266EEE"/>
    <w:rsid w:val="00271A1E"/>
    <w:rsid w:val="00273B3C"/>
    <w:rsid w:val="0028037C"/>
    <w:rsid w:val="002816CB"/>
    <w:rsid w:val="00295BA5"/>
    <w:rsid w:val="002A138B"/>
    <w:rsid w:val="002A1727"/>
    <w:rsid w:val="002A2EE7"/>
    <w:rsid w:val="002B0E4A"/>
    <w:rsid w:val="002B2877"/>
    <w:rsid w:val="002C2405"/>
    <w:rsid w:val="002C7EBD"/>
    <w:rsid w:val="002E4A9A"/>
    <w:rsid w:val="002E5A1A"/>
    <w:rsid w:val="003124B3"/>
    <w:rsid w:val="00333B7A"/>
    <w:rsid w:val="003424F7"/>
    <w:rsid w:val="00344DD1"/>
    <w:rsid w:val="003512C9"/>
    <w:rsid w:val="00363357"/>
    <w:rsid w:val="00390188"/>
    <w:rsid w:val="003973A2"/>
    <w:rsid w:val="003A6218"/>
    <w:rsid w:val="003B5F3A"/>
    <w:rsid w:val="003B6547"/>
    <w:rsid w:val="003B7A5E"/>
    <w:rsid w:val="003D400A"/>
    <w:rsid w:val="003F2426"/>
    <w:rsid w:val="003F2950"/>
    <w:rsid w:val="003F48C2"/>
    <w:rsid w:val="003F7CBE"/>
    <w:rsid w:val="0040139C"/>
    <w:rsid w:val="00402831"/>
    <w:rsid w:val="00412CB2"/>
    <w:rsid w:val="004211BB"/>
    <w:rsid w:val="00433746"/>
    <w:rsid w:val="00434B91"/>
    <w:rsid w:val="00434C88"/>
    <w:rsid w:val="00435E69"/>
    <w:rsid w:val="0044391A"/>
    <w:rsid w:val="004452E2"/>
    <w:rsid w:val="00445BDF"/>
    <w:rsid w:val="00447F6F"/>
    <w:rsid w:val="0045695E"/>
    <w:rsid w:val="00467ACB"/>
    <w:rsid w:val="004808C0"/>
    <w:rsid w:val="00485822"/>
    <w:rsid w:val="00490F50"/>
    <w:rsid w:val="00497C56"/>
    <w:rsid w:val="004A4555"/>
    <w:rsid w:val="004A555E"/>
    <w:rsid w:val="004B08C4"/>
    <w:rsid w:val="004B541F"/>
    <w:rsid w:val="004B674B"/>
    <w:rsid w:val="004C4912"/>
    <w:rsid w:val="004C6E57"/>
    <w:rsid w:val="004E2E30"/>
    <w:rsid w:val="004E40F0"/>
    <w:rsid w:val="004E4CA3"/>
    <w:rsid w:val="004E7007"/>
    <w:rsid w:val="004F0B86"/>
    <w:rsid w:val="00500998"/>
    <w:rsid w:val="00511E06"/>
    <w:rsid w:val="005139FC"/>
    <w:rsid w:val="0052260F"/>
    <w:rsid w:val="00524DA5"/>
    <w:rsid w:val="00526DBD"/>
    <w:rsid w:val="00543DF4"/>
    <w:rsid w:val="00544812"/>
    <w:rsid w:val="00545B75"/>
    <w:rsid w:val="00550AA5"/>
    <w:rsid w:val="00550E19"/>
    <w:rsid w:val="00553ADE"/>
    <w:rsid w:val="0056120D"/>
    <w:rsid w:val="00582CCB"/>
    <w:rsid w:val="00584D73"/>
    <w:rsid w:val="00592A1B"/>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A319B"/>
    <w:rsid w:val="006B16FE"/>
    <w:rsid w:val="006B6D1A"/>
    <w:rsid w:val="006F5316"/>
    <w:rsid w:val="00704503"/>
    <w:rsid w:val="007071CF"/>
    <w:rsid w:val="00721B3E"/>
    <w:rsid w:val="00722FE9"/>
    <w:rsid w:val="00724F08"/>
    <w:rsid w:val="00733F0E"/>
    <w:rsid w:val="007378E2"/>
    <w:rsid w:val="00742A15"/>
    <w:rsid w:val="0077694E"/>
    <w:rsid w:val="00781082"/>
    <w:rsid w:val="00792848"/>
    <w:rsid w:val="007A1071"/>
    <w:rsid w:val="007A2D13"/>
    <w:rsid w:val="007C470C"/>
    <w:rsid w:val="007C7865"/>
    <w:rsid w:val="007D3257"/>
    <w:rsid w:val="007D5554"/>
    <w:rsid w:val="007E3F77"/>
    <w:rsid w:val="007F1C1D"/>
    <w:rsid w:val="007F41BF"/>
    <w:rsid w:val="007F7D80"/>
    <w:rsid w:val="00802879"/>
    <w:rsid w:val="00815DB4"/>
    <w:rsid w:val="00836BC2"/>
    <w:rsid w:val="00847EC2"/>
    <w:rsid w:val="00861757"/>
    <w:rsid w:val="008629DC"/>
    <w:rsid w:val="00874170"/>
    <w:rsid w:val="00884A10"/>
    <w:rsid w:val="00891412"/>
    <w:rsid w:val="008933AC"/>
    <w:rsid w:val="008A0447"/>
    <w:rsid w:val="008A1DE1"/>
    <w:rsid w:val="008A3DA9"/>
    <w:rsid w:val="008B08C9"/>
    <w:rsid w:val="008E499C"/>
    <w:rsid w:val="008E54E2"/>
    <w:rsid w:val="009039FE"/>
    <w:rsid w:val="00906B8B"/>
    <w:rsid w:val="00922B2E"/>
    <w:rsid w:val="00924A73"/>
    <w:rsid w:val="00926581"/>
    <w:rsid w:val="00927BD1"/>
    <w:rsid w:val="00934451"/>
    <w:rsid w:val="00941847"/>
    <w:rsid w:val="00950355"/>
    <w:rsid w:val="0095470A"/>
    <w:rsid w:val="00954BF1"/>
    <w:rsid w:val="00962B86"/>
    <w:rsid w:val="00965DE9"/>
    <w:rsid w:val="009662F5"/>
    <w:rsid w:val="0097366F"/>
    <w:rsid w:val="00974836"/>
    <w:rsid w:val="00993790"/>
    <w:rsid w:val="009943E1"/>
    <w:rsid w:val="00995693"/>
    <w:rsid w:val="009A64EE"/>
    <w:rsid w:val="009A6775"/>
    <w:rsid w:val="009B22ED"/>
    <w:rsid w:val="009B2C0B"/>
    <w:rsid w:val="009C0313"/>
    <w:rsid w:val="009D07E2"/>
    <w:rsid w:val="009D40ED"/>
    <w:rsid w:val="009D49BE"/>
    <w:rsid w:val="009E0861"/>
    <w:rsid w:val="009E41F7"/>
    <w:rsid w:val="00A0224B"/>
    <w:rsid w:val="00A101F4"/>
    <w:rsid w:val="00A13E40"/>
    <w:rsid w:val="00A14343"/>
    <w:rsid w:val="00A22273"/>
    <w:rsid w:val="00A270A7"/>
    <w:rsid w:val="00A30C52"/>
    <w:rsid w:val="00A310E9"/>
    <w:rsid w:val="00A364BA"/>
    <w:rsid w:val="00A462CB"/>
    <w:rsid w:val="00A5061A"/>
    <w:rsid w:val="00A54163"/>
    <w:rsid w:val="00A54E21"/>
    <w:rsid w:val="00A67498"/>
    <w:rsid w:val="00A742D1"/>
    <w:rsid w:val="00A87924"/>
    <w:rsid w:val="00A96933"/>
    <w:rsid w:val="00A96CE5"/>
    <w:rsid w:val="00AA00D3"/>
    <w:rsid w:val="00AA090B"/>
    <w:rsid w:val="00AA261E"/>
    <w:rsid w:val="00AA38A5"/>
    <w:rsid w:val="00AC1379"/>
    <w:rsid w:val="00AC333A"/>
    <w:rsid w:val="00AD25D5"/>
    <w:rsid w:val="00AD62AD"/>
    <w:rsid w:val="00AF3B6B"/>
    <w:rsid w:val="00AF71F1"/>
    <w:rsid w:val="00B05E6F"/>
    <w:rsid w:val="00B06EC7"/>
    <w:rsid w:val="00B150C1"/>
    <w:rsid w:val="00B15570"/>
    <w:rsid w:val="00B2355E"/>
    <w:rsid w:val="00B263C5"/>
    <w:rsid w:val="00B264B0"/>
    <w:rsid w:val="00B27BBC"/>
    <w:rsid w:val="00B30925"/>
    <w:rsid w:val="00B372BE"/>
    <w:rsid w:val="00B44777"/>
    <w:rsid w:val="00B67355"/>
    <w:rsid w:val="00B71740"/>
    <w:rsid w:val="00B73847"/>
    <w:rsid w:val="00B7393F"/>
    <w:rsid w:val="00B761B1"/>
    <w:rsid w:val="00B80C28"/>
    <w:rsid w:val="00BB6EE3"/>
    <w:rsid w:val="00BC2D9D"/>
    <w:rsid w:val="00BC4882"/>
    <w:rsid w:val="00BC55D2"/>
    <w:rsid w:val="00BD06FC"/>
    <w:rsid w:val="00BD4705"/>
    <w:rsid w:val="00BD5DBE"/>
    <w:rsid w:val="00BE678B"/>
    <w:rsid w:val="00BF1AC9"/>
    <w:rsid w:val="00BF3FAD"/>
    <w:rsid w:val="00C0033F"/>
    <w:rsid w:val="00C0131C"/>
    <w:rsid w:val="00C03103"/>
    <w:rsid w:val="00C05CDF"/>
    <w:rsid w:val="00C153EC"/>
    <w:rsid w:val="00C30FD6"/>
    <w:rsid w:val="00C31FEE"/>
    <w:rsid w:val="00C54EF3"/>
    <w:rsid w:val="00C55FFC"/>
    <w:rsid w:val="00C75CE0"/>
    <w:rsid w:val="00C8188E"/>
    <w:rsid w:val="00C920D4"/>
    <w:rsid w:val="00CA7627"/>
    <w:rsid w:val="00CB6F8B"/>
    <w:rsid w:val="00CC68E1"/>
    <w:rsid w:val="00CD1E05"/>
    <w:rsid w:val="00CD4339"/>
    <w:rsid w:val="00CD6D0D"/>
    <w:rsid w:val="00CD7611"/>
    <w:rsid w:val="00CE1BE1"/>
    <w:rsid w:val="00CE46B3"/>
    <w:rsid w:val="00CE50F9"/>
    <w:rsid w:val="00CF11EE"/>
    <w:rsid w:val="00CF1B14"/>
    <w:rsid w:val="00CF432B"/>
    <w:rsid w:val="00CF7899"/>
    <w:rsid w:val="00D0433F"/>
    <w:rsid w:val="00D05740"/>
    <w:rsid w:val="00D135EF"/>
    <w:rsid w:val="00D13875"/>
    <w:rsid w:val="00D151C8"/>
    <w:rsid w:val="00D15D07"/>
    <w:rsid w:val="00D160F2"/>
    <w:rsid w:val="00D342D7"/>
    <w:rsid w:val="00D357E1"/>
    <w:rsid w:val="00D37CDC"/>
    <w:rsid w:val="00D45BDF"/>
    <w:rsid w:val="00D51426"/>
    <w:rsid w:val="00D51C81"/>
    <w:rsid w:val="00D55306"/>
    <w:rsid w:val="00D55429"/>
    <w:rsid w:val="00D62C09"/>
    <w:rsid w:val="00D6548F"/>
    <w:rsid w:val="00D65D0C"/>
    <w:rsid w:val="00D666D4"/>
    <w:rsid w:val="00D7239D"/>
    <w:rsid w:val="00D7266B"/>
    <w:rsid w:val="00D75FAE"/>
    <w:rsid w:val="00D76EA4"/>
    <w:rsid w:val="00D77F63"/>
    <w:rsid w:val="00D81CB3"/>
    <w:rsid w:val="00D9114A"/>
    <w:rsid w:val="00D932AD"/>
    <w:rsid w:val="00D94092"/>
    <w:rsid w:val="00DA11C0"/>
    <w:rsid w:val="00DB6812"/>
    <w:rsid w:val="00DE4452"/>
    <w:rsid w:val="00DF2784"/>
    <w:rsid w:val="00DF389F"/>
    <w:rsid w:val="00DF6CA0"/>
    <w:rsid w:val="00E145E1"/>
    <w:rsid w:val="00E23BC6"/>
    <w:rsid w:val="00E26123"/>
    <w:rsid w:val="00E34559"/>
    <w:rsid w:val="00E41481"/>
    <w:rsid w:val="00E416F8"/>
    <w:rsid w:val="00E43605"/>
    <w:rsid w:val="00E656C1"/>
    <w:rsid w:val="00E70B5D"/>
    <w:rsid w:val="00E750E2"/>
    <w:rsid w:val="00E80E84"/>
    <w:rsid w:val="00E82F77"/>
    <w:rsid w:val="00E83683"/>
    <w:rsid w:val="00E910F8"/>
    <w:rsid w:val="00EA61E1"/>
    <w:rsid w:val="00EA7E26"/>
    <w:rsid w:val="00EB7128"/>
    <w:rsid w:val="00EE29F6"/>
    <w:rsid w:val="00EF7F0F"/>
    <w:rsid w:val="00F05A41"/>
    <w:rsid w:val="00F14384"/>
    <w:rsid w:val="00F401C1"/>
    <w:rsid w:val="00F44957"/>
    <w:rsid w:val="00F71364"/>
    <w:rsid w:val="00F71DED"/>
    <w:rsid w:val="00F72D12"/>
    <w:rsid w:val="00F843FA"/>
    <w:rsid w:val="00FB3044"/>
    <w:rsid w:val="00FB59D6"/>
    <w:rsid w:val="00FC1D9D"/>
    <w:rsid w:val="00FD096B"/>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F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4D21-F875-417D-B117-DDF920FA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4033</Words>
  <Characters>22185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9</cp:revision>
  <cp:lastPrinted>2018-12-17T22:33:00Z</cp:lastPrinted>
  <dcterms:created xsi:type="dcterms:W3CDTF">2018-12-17T21:23:00Z</dcterms:created>
  <dcterms:modified xsi:type="dcterms:W3CDTF">2018-12-17T22:35:00Z</dcterms:modified>
</cp:coreProperties>
</file>